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2C" w:rsidRPr="008D5E2C" w:rsidRDefault="008D5E2C" w:rsidP="008D5E2C">
      <w:pPr>
        <w:ind w:firstLine="0"/>
        <w:jc w:val="center"/>
        <w:rPr>
          <w:b/>
          <w:szCs w:val="28"/>
        </w:rPr>
      </w:pPr>
    </w:p>
    <w:p w:rsidR="008D5E2C" w:rsidRPr="008D5E2C" w:rsidRDefault="008D5E2C" w:rsidP="008D5E2C">
      <w:pPr>
        <w:ind w:firstLine="0"/>
        <w:jc w:val="center"/>
        <w:rPr>
          <w:b/>
          <w:szCs w:val="28"/>
        </w:rPr>
      </w:pPr>
    </w:p>
    <w:p w:rsidR="008D5E2C" w:rsidRPr="008D5E2C" w:rsidRDefault="008D5E2C" w:rsidP="008D5E2C">
      <w:pPr>
        <w:ind w:firstLine="0"/>
        <w:jc w:val="center"/>
        <w:rPr>
          <w:b/>
          <w:szCs w:val="28"/>
        </w:rPr>
      </w:pPr>
    </w:p>
    <w:p w:rsidR="008D5E2C" w:rsidRPr="008D5E2C" w:rsidRDefault="008D5E2C" w:rsidP="008D5E2C">
      <w:pPr>
        <w:ind w:firstLine="0"/>
        <w:jc w:val="center"/>
        <w:rPr>
          <w:b/>
          <w:szCs w:val="28"/>
        </w:rPr>
      </w:pPr>
    </w:p>
    <w:p w:rsidR="008D5E2C" w:rsidRPr="008D5E2C" w:rsidRDefault="008D5E2C" w:rsidP="008D5E2C">
      <w:pPr>
        <w:ind w:firstLine="0"/>
        <w:jc w:val="center"/>
        <w:rPr>
          <w:b/>
          <w:szCs w:val="28"/>
        </w:rPr>
      </w:pPr>
    </w:p>
    <w:p w:rsidR="008D5E2C" w:rsidRPr="008D5E2C" w:rsidRDefault="008D5E2C" w:rsidP="008D5E2C">
      <w:pPr>
        <w:ind w:firstLine="0"/>
        <w:jc w:val="center"/>
        <w:rPr>
          <w:b/>
          <w:szCs w:val="28"/>
        </w:rPr>
      </w:pPr>
    </w:p>
    <w:p w:rsidR="008D5E2C" w:rsidRPr="008D5E2C" w:rsidRDefault="008D5E2C" w:rsidP="008D5E2C">
      <w:pPr>
        <w:ind w:firstLine="0"/>
        <w:jc w:val="center"/>
        <w:rPr>
          <w:b/>
          <w:szCs w:val="28"/>
        </w:rPr>
      </w:pPr>
    </w:p>
    <w:p w:rsidR="008D5E2C" w:rsidRPr="008D5E2C" w:rsidRDefault="008D5E2C" w:rsidP="008D5E2C">
      <w:pPr>
        <w:ind w:firstLine="0"/>
        <w:jc w:val="center"/>
        <w:rPr>
          <w:b/>
          <w:szCs w:val="28"/>
        </w:rPr>
      </w:pPr>
    </w:p>
    <w:p w:rsidR="00346FED" w:rsidRPr="008D5E2C" w:rsidRDefault="00EB17A2" w:rsidP="008D5E2C">
      <w:pPr>
        <w:ind w:firstLine="0"/>
        <w:jc w:val="center"/>
        <w:rPr>
          <w:b/>
          <w:bCs/>
          <w:szCs w:val="28"/>
        </w:rPr>
      </w:pPr>
      <w:r w:rsidRPr="008D5E2C">
        <w:rPr>
          <w:b/>
          <w:bCs/>
          <w:szCs w:val="28"/>
        </w:rPr>
        <w:t>О</w:t>
      </w:r>
      <w:r w:rsidR="00346FED" w:rsidRPr="008D5E2C">
        <w:rPr>
          <w:b/>
          <w:bCs/>
          <w:szCs w:val="28"/>
        </w:rPr>
        <w:t xml:space="preserve">б установлении инвестиционного налогового вычета </w:t>
      </w:r>
    </w:p>
    <w:p w:rsidR="00346FED" w:rsidRPr="008D5E2C" w:rsidRDefault="00346FED" w:rsidP="008D5E2C">
      <w:pPr>
        <w:ind w:firstLine="0"/>
        <w:jc w:val="center"/>
        <w:rPr>
          <w:b/>
          <w:bCs/>
          <w:szCs w:val="28"/>
        </w:rPr>
      </w:pPr>
      <w:r w:rsidRPr="008D5E2C">
        <w:rPr>
          <w:b/>
          <w:bCs/>
          <w:szCs w:val="28"/>
        </w:rPr>
        <w:t>по налогу на прибыль организаций</w:t>
      </w:r>
    </w:p>
    <w:p w:rsidR="00346FED" w:rsidRPr="008D5E2C" w:rsidRDefault="00346FED" w:rsidP="008D5E2C">
      <w:pPr>
        <w:pStyle w:val="af"/>
        <w:tabs>
          <w:tab w:val="left" w:pos="709"/>
        </w:tabs>
        <w:rPr>
          <w:b/>
          <w:sz w:val="28"/>
          <w:szCs w:val="28"/>
        </w:rPr>
      </w:pPr>
    </w:p>
    <w:p w:rsidR="00EA42B9" w:rsidRPr="008D5E2C" w:rsidRDefault="00EA42B9" w:rsidP="008D5E2C">
      <w:pPr>
        <w:pStyle w:val="af"/>
        <w:tabs>
          <w:tab w:val="left" w:pos="709"/>
        </w:tabs>
        <w:rPr>
          <w:b/>
          <w:sz w:val="28"/>
          <w:szCs w:val="28"/>
        </w:rPr>
      </w:pPr>
    </w:p>
    <w:p w:rsidR="00EB17A2" w:rsidRPr="008D5E2C" w:rsidRDefault="00EB17A2" w:rsidP="008D5E2C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8D5E2C">
        <w:rPr>
          <w:sz w:val="24"/>
          <w:szCs w:val="28"/>
        </w:rPr>
        <w:t>Принят</w:t>
      </w:r>
      <w:proofErr w:type="gramEnd"/>
      <w:r w:rsidRPr="008D5E2C">
        <w:rPr>
          <w:sz w:val="24"/>
          <w:szCs w:val="28"/>
        </w:rPr>
        <w:t xml:space="preserve"> Ярославской областной Думой</w:t>
      </w:r>
    </w:p>
    <w:p w:rsidR="00EB17A2" w:rsidRPr="008D5E2C" w:rsidRDefault="008D5E2C" w:rsidP="008D5E2C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28 сентября</w:t>
      </w:r>
      <w:r w:rsidR="00EB17A2" w:rsidRPr="008D5E2C">
        <w:rPr>
          <w:sz w:val="24"/>
          <w:szCs w:val="28"/>
        </w:rPr>
        <w:t xml:space="preserve"> 202</w:t>
      </w:r>
      <w:r w:rsidR="00BC27B8" w:rsidRPr="008D5E2C">
        <w:rPr>
          <w:sz w:val="24"/>
          <w:szCs w:val="28"/>
        </w:rPr>
        <w:t>1</w:t>
      </w:r>
      <w:r w:rsidR="00EB17A2" w:rsidRPr="008D5E2C">
        <w:rPr>
          <w:sz w:val="24"/>
          <w:szCs w:val="28"/>
        </w:rPr>
        <w:t xml:space="preserve"> года</w:t>
      </w:r>
    </w:p>
    <w:p w:rsidR="00EB17A2" w:rsidRPr="008D5E2C" w:rsidRDefault="00EB17A2" w:rsidP="008D5E2C">
      <w:pPr>
        <w:ind w:firstLine="0"/>
        <w:rPr>
          <w:b/>
          <w:bCs/>
          <w:szCs w:val="28"/>
        </w:rPr>
      </w:pPr>
    </w:p>
    <w:p w:rsidR="00346FED" w:rsidRPr="008D5E2C" w:rsidRDefault="00346FED" w:rsidP="008D5E2C">
      <w:pPr>
        <w:ind w:firstLine="0"/>
        <w:rPr>
          <w:b/>
          <w:bCs/>
          <w:szCs w:val="28"/>
        </w:rPr>
      </w:pPr>
    </w:p>
    <w:p w:rsidR="00346FED" w:rsidRPr="008D5E2C" w:rsidRDefault="00346FED" w:rsidP="008D5E2C">
      <w:pPr>
        <w:ind w:firstLine="709"/>
        <w:rPr>
          <w:b/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 xml:space="preserve">Статья 1. </w:t>
      </w:r>
      <w:r w:rsidRPr="008D5E2C">
        <w:rPr>
          <w:b/>
          <w:bCs/>
          <w:spacing w:val="-2"/>
          <w:szCs w:val="28"/>
        </w:rPr>
        <w:t>Предмет регулирования настоящего Закона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>Настоящий Закон в соответствии со статьей 286</w:t>
      </w:r>
      <w:r w:rsidRPr="008D5E2C">
        <w:rPr>
          <w:bCs/>
          <w:spacing w:val="-2"/>
          <w:szCs w:val="28"/>
          <w:vertAlign w:val="superscript"/>
        </w:rPr>
        <w:t>1</w:t>
      </w:r>
      <w:r w:rsidRPr="008D5E2C">
        <w:rPr>
          <w:bCs/>
          <w:spacing w:val="-2"/>
          <w:szCs w:val="28"/>
        </w:rPr>
        <w:t xml:space="preserve"> Налогового кодекса Российской Федерации регулирует отношения в сфере применения на терр</w:t>
      </w:r>
      <w:r w:rsidRPr="008D5E2C">
        <w:rPr>
          <w:bCs/>
          <w:spacing w:val="-2"/>
          <w:szCs w:val="28"/>
        </w:rPr>
        <w:t>и</w:t>
      </w:r>
      <w:r w:rsidRPr="008D5E2C">
        <w:rPr>
          <w:bCs/>
          <w:spacing w:val="-2"/>
          <w:szCs w:val="28"/>
        </w:rPr>
        <w:t>тории Ярославской области инвестиционного налогового вычета по налогу на прибыль организаций (далее – инвестиционный налоговый вычет).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 xml:space="preserve">Статья 2. </w:t>
      </w:r>
      <w:r w:rsidRPr="008D5E2C">
        <w:rPr>
          <w:b/>
          <w:bCs/>
          <w:spacing w:val="-2"/>
          <w:szCs w:val="28"/>
        </w:rPr>
        <w:t>Право на применение инвестиционного налогового вычета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>Право на применение инвестиционного налогового вычета устанавлив</w:t>
      </w:r>
      <w:r w:rsidRPr="008D5E2C">
        <w:rPr>
          <w:bCs/>
          <w:spacing w:val="-2"/>
          <w:szCs w:val="28"/>
        </w:rPr>
        <w:t>а</w:t>
      </w:r>
      <w:r w:rsidRPr="008D5E2C">
        <w:rPr>
          <w:bCs/>
          <w:spacing w:val="-2"/>
          <w:szCs w:val="28"/>
        </w:rPr>
        <w:t>ется в отношении расходов, указанных в подпунктах 1 и 2 пункта 2 статьи 286</w:t>
      </w:r>
      <w:r w:rsidRPr="008D5E2C">
        <w:rPr>
          <w:bCs/>
          <w:spacing w:val="-2"/>
          <w:szCs w:val="28"/>
          <w:vertAlign w:val="superscript"/>
        </w:rPr>
        <w:t>1</w:t>
      </w:r>
      <w:r w:rsidRPr="008D5E2C">
        <w:rPr>
          <w:bCs/>
          <w:spacing w:val="-2"/>
          <w:szCs w:val="28"/>
        </w:rPr>
        <w:t xml:space="preserve"> Налогового кодекса Российской Федерации, применительно к объектам о</w:t>
      </w:r>
      <w:r w:rsidRPr="008D5E2C">
        <w:rPr>
          <w:bCs/>
          <w:spacing w:val="-2"/>
          <w:szCs w:val="28"/>
        </w:rPr>
        <w:t>с</w:t>
      </w:r>
      <w:r w:rsidRPr="008D5E2C">
        <w:rPr>
          <w:bCs/>
          <w:spacing w:val="-2"/>
          <w:szCs w:val="28"/>
        </w:rPr>
        <w:t>новных средств, относящимся к организациям или обособленным подраздел</w:t>
      </w:r>
      <w:r w:rsidRPr="008D5E2C">
        <w:rPr>
          <w:bCs/>
          <w:spacing w:val="-2"/>
          <w:szCs w:val="28"/>
        </w:rPr>
        <w:t>е</w:t>
      </w:r>
      <w:r w:rsidRPr="008D5E2C">
        <w:rPr>
          <w:bCs/>
          <w:spacing w:val="-2"/>
          <w:szCs w:val="28"/>
        </w:rPr>
        <w:t>ниям организаций, расположенным на территории Ярославской области.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</w:p>
    <w:p w:rsidR="00346FED" w:rsidRPr="008D5E2C" w:rsidRDefault="00346FED" w:rsidP="008D5E2C">
      <w:pPr>
        <w:ind w:firstLine="709"/>
        <w:rPr>
          <w:b/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 xml:space="preserve">Статья 3. </w:t>
      </w:r>
      <w:r w:rsidRPr="008D5E2C">
        <w:rPr>
          <w:b/>
          <w:bCs/>
          <w:spacing w:val="-2"/>
          <w:szCs w:val="28"/>
        </w:rPr>
        <w:t>Налогоплательщики, которым предоставляется право на применение инвестиционного налогового вычета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>1. Право на применение инвестиционного налогового вычета предоста</w:t>
      </w:r>
      <w:r w:rsidRPr="008D5E2C">
        <w:rPr>
          <w:bCs/>
          <w:spacing w:val="-2"/>
          <w:szCs w:val="28"/>
        </w:rPr>
        <w:t>в</w:t>
      </w:r>
      <w:r w:rsidRPr="008D5E2C">
        <w:rPr>
          <w:bCs/>
          <w:spacing w:val="-2"/>
          <w:szCs w:val="28"/>
        </w:rPr>
        <w:t>ляется инвесторам, реализующим приоритетные инвестицион</w:t>
      </w:r>
      <w:r w:rsidR="00D4220D" w:rsidRPr="008D5E2C">
        <w:rPr>
          <w:bCs/>
          <w:spacing w:val="-2"/>
          <w:szCs w:val="28"/>
        </w:rPr>
        <w:t xml:space="preserve">ные проекты Ярославской области, </w:t>
      </w:r>
      <w:r w:rsidRPr="008D5E2C">
        <w:rPr>
          <w:bCs/>
          <w:spacing w:val="-2"/>
          <w:szCs w:val="28"/>
        </w:rPr>
        <w:t>которым в соответствии с Законом Ярославской области от 19.12.2005 № 83-з «О государственном регулировании инвестиционной д</w:t>
      </w:r>
      <w:r w:rsidRPr="008D5E2C">
        <w:rPr>
          <w:bCs/>
          <w:spacing w:val="-2"/>
          <w:szCs w:val="28"/>
        </w:rPr>
        <w:t>е</w:t>
      </w:r>
      <w:r w:rsidRPr="008D5E2C">
        <w:rPr>
          <w:bCs/>
          <w:spacing w:val="-2"/>
          <w:szCs w:val="28"/>
        </w:rPr>
        <w:t>ятельности на территории Ярославской области» определена форма госуда</w:t>
      </w:r>
      <w:r w:rsidRPr="008D5E2C">
        <w:rPr>
          <w:bCs/>
          <w:spacing w:val="-2"/>
          <w:szCs w:val="28"/>
        </w:rPr>
        <w:t>р</w:t>
      </w:r>
      <w:r w:rsidRPr="008D5E2C">
        <w:rPr>
          <w:bCs/>
          <w:spacing w:val="-2"/>
          <w:szCs w:val="28"/>
        </w:rPr>
        <w:t>ственной поддержки в виде инвестиционного налогового вычета.</w:t>
      </w:r>
    </w:p>
    <w:p w:rsidR="00346FED" w:rsidRPr="008D5E2C" w:rsidRDefault="00D4220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>2</w:t>
      </w:r>
      <w:r w:rsidR="00346FED" w:rsidRPr="008D5E2C">
        <w:rPr>
          <w:bCs/>
          <w:spacing w:val="-2"/>
          <w:szCs w:val="28"/>
        </w:rPr>
        <w:t>. Право на применение инвестиционного налогового вычета не пред</w:t>
      </w:r>
      <w:r w:rsidR="00346FED" w:rsidRPr="008D5E2C">
        <w:rPr>
          <w:bCs/>
          <w:spacing w:val="-2"/>
          <w:szCs w:val="28"/>
        </w:rPr>
        <w:t>о</w:t>
      </w:r>
      <w:r w:rsidR="00346FED" w:rsidRPr="008D5E2C">
        <w:rPr>
          <w:bCs/>
          <w:spacing w:val="-2"/>
          <w:szCs w:val="28"/>
        </w:rPr>
        <w:t>ставляется налогоплательщикам, применяющим пониженные налоговые ста</w:t>
      </w:r>
      <w:r w:rsidR="00346FED" w:rsidRPr="008D5E2C">
        <w:rPr>
          <w:bCs/>
          <w:spacing w:val="-2"/>
          <w:szCs w:val="28"/>
        </w:rPr>
        <w:t>в</w:t>
      </w:r>
      <w:r w:rsidR="00346FED" w:rsidRPr="008D5E2C">
        <w:rPr>
          <w:bCs/>
          <w:spacing w:val="-2"/>
          <w:szCs w:val="28"/>
        </w:rPr>
        <w:t>ки по налогу на прибыль организаций в соответствии с Законом Ярославской области от 15.10.2003 № 45-з «О ставках налога на прибыль организаций».</w:t>
      </w:r>
    </w:p>
    <w:p w:rsidR="00346FED" w:rsidRDefault="00346FED" w:rsidP="008D5E2C">
      <w:pPr>
        <w:ind w:firstLine="709"/>
        <w:rPr>
          <w:bCs/>
          <w:spacing w:val="-2"/>
          <w:szCs w:val="28"/>
        </w:rPr>
      </w:pPr>
    </w:p>
    <w:p w:rsidR="008D5E2C" w:rsidRDefault="008D5E2C">
      <w:pPr>
        <w:ind w:firstLine="0"/>
        <w:jc w:val="left"/>
        <w:rPr>
          <w:bCs/>
          <w:spacing w:val="-2"/>
          <w:szCs w:val="28"/>
        </w:rPr>
      </w:pPr>
      <w:r>
        <w:rPr>
          <w:bCs/>
          <w:spacing w:val="-2"/>
          <w:szCs w:val="28"/>
        </w:rPr>
        <w:br w:type="page"/>
      </w:r>
    </w:p>
    <w:p w:rsidR="00346FED" w:rsidRPr="008D5E2C" w:rsidRDefault="00346FED" w:rsidP="008D5E2C">
      <w:pPr>
        <w:ind w:firstLine="709"/>
        <w:rPr>
          <w:b/>
          <w:bCs/>
          <w:spacing w:val="-2"/>
          <w:szCs w:val="28"/>
        </w:rPr>
      </w:pPr>
      <w:r w:rsidRPr="008D5E2C">
        <w:rPr>
          <w:bCs/>
          <w:spacing w:val="-2"/>
          <w:szCs w:val="28"/>
        </w:rPr>
        <w:lastRenderedPageBreak/>
        <w:t xml:space="preserve">Статья 4. </w:t>
      </w:r>
      <w:r w:rsidRPr="008D5E2C">
        <w:rPr>
          <w:b/>
          <w:bCs/>
          <w:spacing w:val="-2"/>
          <w:szCs w:val="28"/>
        </w:rPr>
        <w:t>Размер инвестиционного налогового вычета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 xml:space="preserve">1. Размер инвестиционного налогового вычета текущего налогового </w:t>
      </w:r>
      <w:r w:rsidR="001D64D3">
        <w:rPr>
          <w:bCs/>
          <w:spacing w:val="-2"/>
          <w:szCs w:val="28"/>
        </w:rPr>
        <w:br/>
      </w:r>
      <w:r w:rsidRPr="008D5E2C">
        <w:rPr>
          <w:bCs/>
          <w:spacing w:val="-2"/>
          <w:szCs w:val="28"/>
        </w:rPr>
        <w:t>(отчетного) периода составляет 90 процентов суммы расходов, указанных в подпунктах 1 и 2 пункта 2 статьи 286</w:t>
      </w:r>
      <w:r w:rsidRPr="008D5E2C">
        <w:rPr>
          <w:bCs/>
          <w:spacing w:val="-2"/>
          <w:szCs w:val="28"/>
          <w:vertAlign w:val="superscript"/>
        </w:rPr>
        <w:t>1</w:t>
      </w:r>
      <w:r w:rsidRPr="008D5E2C">
        <w:rPr>
          <w:bCs/>
          <w:spacing w:val="-2"/>
          <w:szCs w:val="28"/>
        </w:rPr>
        <w:t xml:space="preserve"> Налогового кодекса Российской Фед</w:t>
      </w:r>
      <w:r w:rsidRPr="008D5E2C">
        <w:rPr>
          <w:bCs/>
          <w:spacing w:val="-2"/>
          <w:szCs w:val="28"/>
        </w:rPr>
        <w:t>е</w:t>
      </w:r>
      <w:r w:rsidRPr="008D5E2C">
        <w:rPr>
          <w:bCs/>
          <w:spacing w:val="-2"/>
          <w:szCs w:val="28"/>
        </w:rPr>
        <w:t>рации.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 xml:space="preserve">2. </w:t>
      </w:r>
      <w:proofErr w:type="gramStart"/>
      <w:r w:rsidRPr="008D5E2C">
        <w:rPr>
          <w:bCs/>
          <w:spacing w:val="-2"/>
          <w:szCs w:val="28"/>
        </w:rPr>
        <w:t>Предельная величина инвестиционного налогового вычета в целях настоящей статьи определяется в размере, равном разнице между расчетной суммой налога на прибыль организаций, подлежащей зачислению в областной бюджет за налоговый (отчетный) период, определенной налогоплательщиком без учета положений статьи 286</w:t>
      </w:r>
      <w:r w:rsidRPr="008D5E2C">
        <w:rPr>
          <w:bCs/>
          <w:spacing w:val="-2"/>
          <w:szCs w:val="28"/>
          <w:vertAlign w:val="superscript"/>
        </w:rPr>
        <w:t>1</w:t>
      </w:r>
      <w:r w:rsidRPr="008D5E2C">
        <w:rPr>
          <w:bCs/>
          <w:spacing w:val="-2"/>
          <w:szCs w:val="28"/>
        </w:rPr>
        <w:t xml:space="preserve"> Налогового кодекса Российской Федерации, и расчетной суммой налога на прибыль организаций, подлежащей зачислению в областной бюджет за налоговый (отчетный) период, определенной без учета</w:t>
      </w:r>
      <w:proofErr w:type="gramEnd"/>
      <w:r w:rsidRPr="008D5E2C">
        <w:rPr>
          <w:bCs/>
          <w:spacing w:val="-2"/>
          <w:szCs w:val="28"/>
        </w:rPr>
        <w:t xml:space="preserve"> положений статьи 286</w:t>
      </w:r>
      <w:r w:rsidRPr="008D5E2C">
        <w:rPr>
          <w:bCs/>
          <w:spacing w:val="-2"/>
          <w:szCs w:val="28"/>
          <w:vertAlign w:val="superscript"/>
        </w:rPr>
        <w:t>1</w:t>
      </w:r>
      <w:r w:rsidRPr="008D5E2C">
        <w:rPr>
          <w:bCs/>
          <w:spacing w:val="-2"/>
          <w:szCs w:val="28"/>
        </w:rPr>
        <w:t xml:space="preserve"> Налогового кодекса Российской Федерации, при усл</w:t>
      </w:r>
      <w:r w:rsidRPr="008D5E2C">
        <w:rPr>
          <w:bCs/>
          <w:spacing w:val="-2"/>
          <w:szCs w:val="28"/>
        </w:rPr>
        <w:t>о</w:t>
      </w:r>
      <w:r w:rsidRPr="008D5E2C">
        <w:rPr>
          <w:bCs/>
          <w:spacing w:val="-2"/>
          <w:szCs w:val="28"/>
        </w:rPr>
        <w:t>вии применения ставки налога на прибыль организаций в размере, составл</w:t>
      </w:r>
      <w:r w:rsidRPr="008D5E2C">
        <w:rPr>
          <w:bCs/>
          <w:spacing w:val="-2"/>
          <w:szCs w:val="28"/>
        </w:rPr>
        <w:t>я</w:t>
      </w:r>
      <w:r w:rsidRPr="008D5E2C">
        <w:rPr>
          <w:bCs/>
          <w:spacing w:val="-2"/>
          <w:szCs w:val="28"/>
        </w:rPr>
        <w:t>ющем величину (С), рассчитываемую по формуле: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>С = А – 6 х Д, где</w:t>
      </w:r>
      <w:r w:rsidR="00300DD7">
        <w:rPr>
          <w:bCs/>
          <w:spacing w:val="-2"/>
          <w:szCs w:val="28"/>
        </w:rPr>
        <w:t>:</w:t>
      </w:r>
      <w:bookmarkStart w:id="0" w:name="_GoBack"/>
      <w:bookmarkEnd w:id="0"/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>А – ставка налога на прибыль организаций, подлежащего зачислению в областной бюджет, установленная абзацем третьим пункта 1 статьи 284 Нал</w:t>
      </w:r>
      <w:r w:rsidRPr="008D5E2C">
        <w:rPr>
          <w:bCs/>
          <w:spacing w:val="-2"/>
          <w:szCs w:val="28"/>
        </w:rPr>
        <w:t>о</w:t>
      </w:r>
      <w:r w:rsidRPr="008D5E2C">
        <w:rPr>
          <w:bCs/>
          <w:spacing w:val="-2"/>
          <w:szCs w:val="28"/>
        </w:rPr>
        <w:t>гового кодекса Российской Федерации;</w:t>
      </w:r>
    </w:p>
    <w:p w:rsidR="00034F34" w:rsidRPr="008D5E2C" w:rsidRDefault="00034F34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>6 – величина понижения ставки налога на прибыль организаций, подл</w:t>
      </w:r>
      <w:r w:rsidRPr="008D5E2C">
        <w:rPr>
          <w:bCs/>
          <w:spacing w:val="-2"/>
          <w:szCs w:val="28"/>
        </w:rPr>
        <w:t>е</w:t>
      </w:r>
      <w:r w:rsidRPr="008D5E2C">
        <w:rPr>
          <w:bCs/>
          <w:spacing w:val="-2"/>
          <w:szCs w:val="28"/>
        </w:rPr>
        <w:t>жащего зачислению в областной бюджет, для определения предельной вел</w:t>
      </w:r>
      <w:r w:rsidRPr="008D5E2C">
        <w:rPr>
          <w:bCs/>
          <w:spacing w:val="-2"/>
          <w:szCs w:val="28"/>
        </w:rPr>
        <w:t>и</w:t>
      </w:r>
      <w:r w:rsidRPr="008D5E2C">
        <w:rPr>
          <w:bCs/>
          <w:spacing w:val="-2"/>
          <w:szCs w:val="28"/>
        </w:rPr>
        <w:t>чины инвестиционного налогового вычета по приоритетным инвестиционным проектам Ярославской области;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proofErr w:type="gramStart"/>
      <w:r w:rsidRPr="008D5E2C">
        <w:rPr>
          <w:bCs/>
          <w:spacing w:val="-2"/>
          <w:szCs w:val="28"/>
        </w:rPr>
        <w:t>Д – удельный вес налогооблагаемой прибыли по приоритетному инв</w:t>
      </w:r>
      <w:r w:rsidRPr="008D5E2C">
        <w:rPr>
          <w:bCs/>
          <w:spacing w:val="-2"/>
          <w:szCs w:val="28"/>
        </w:rPr>
        <w:t>е</w:t>
      </w:r>
      <w:r w:rsidRPr="008D5E2C">
        <w:rPr>
          <w:bCs/>
          <w:spacing w:val="-2"/>
          <w:szCs w:val="28"/>
        </w:rPr>
        <w:t>стиционному проекту Ярославской области (приоритетным инвестиционным проектам Ярославской области) в налогооблагаемой прибыли в целом по о</w:t>
      </w:r>
      <w:r w:rsidRPr="008D5E2C">
        <w:rPr>
          <w:bCs/>
          <w:spacing w:val="-2"/>
          <w:szCs w:val="28"/>
        </w:rPr>
        <w:t>р</w:t>
      </w:r>
      <w:r w:rsidRPr="008D5E2C">
        <w:rPr>
          <w:bCs/>
          <w:spacing w:val="-2"/>
          <w:szCs w:val="28"/>
        </w:rPr>
        <w:t>ганизации (по обособленному подразделению организации, через которое ре</w:t>
      </w:r>
      <w:r w:rsidRPr="008D5E2C">
        <w:rPr>
          <w:bCs/>
          <w:spacing w:val="-2"/>
          <w:szCs w:val="28"/>
        </w:rPr>
        <w:t>а</w:t>
      </w:r>
      <w:r w:rsidRPr="008D5E2C">
        <w:rPr>
          <w:bCs/>
          <w:spacing w:val="-2"/>
          <w:szCs w:val="28"/>
        </w:rPr>
        <w:t>лизуется приоритетный инвестиционный проект Ярославской области (при</w:t>
      </w:r>
      <w:r w:rsidRPr="008D5E2C">
        <w:rPr>
          <w:bCs/>
          <w:spacing w:val="-2"/>
          <w:szCs w:val="28"/>
        </w:rPr>
        <w:t>о</w:t>
      </w:r>
      <w:r w:rsidRPr="008D5E2C">
        <w:rPr>
          <w:bCs/>
          <w:spacing w:val="-2"/>
          <w:szCs w:val="28"/>
        </w:rPr>
        <w:t>ритетные инвестиционные проекты Ярославской области).</w:t>
      </w:r>
      <w:proofErr w:type="gramEnd"/>
      <w:r w:rsidRPr="008D5E2C">
        <w:rPr>
          <w:bCs/>
          <w:spacing w:val="-2"/>
          <w:szCs w:val="28"/>
        </w:rPr>
        <w:t xml:space="preserve"> По приоритетным инвестиционным проектам Ярославской области, которые реализуются инв</w:t>
      </w:r>
      <w:r w:rsidRPr="008D5E2C">
        <w:rPr>
          <w:bCs/>
          <w:spacing w:val="-2"/>
          <w:szCs w:val="28"/>
        </w:rPr>
        <w:t>е</w:t>
      </w:r>
      <w:r w:rsidRPr="008D5E2C">
        <w:rPr>
          <w:bCs/>
          <w:spacing w:val="-2"/>
          <w:szCs w:val="28"/>
        </w:rPr>
        <w:t>сторами через расположенные на территории Ярославской области обосо</w:t>
      </w:r>
      <w:r w:rsidRPr="008D5E2C">
        <w:rPr>
          <w:bCs/>
          <w:spacing w:val="-2"/>
          <w:szCs w:val="28"/>
        </w:rPr>
        <w:t>б</w:t>
      </w:r>
      <w:r w:rsidRPr="008D5E2C">
        <w:rPr>
          <w:bCs/>
          <w:spacing w:val="-2"/>
          <w:szCs w:val="28"/>
        </w:rPr>
        <w:t>ленные подразделения организации и не предусматривают реализации пр</w:t>
      </w:r>
      <w:r w:rsidRPr="008D5E2C">
        <w:rPr>
          <w:bCs/>
          <w:spacing w:val="-2"/>
          <w:szCs w:val="28"/>
        </w:rPr>
        <w:t>о</w:t>
      </w:r>
      <w:r w:rsidRPr="008D5E2C">
        <w:rPr>
          <w:bCs/>
          <w:spacing w:val="-2"/>
          <w:szCs w:val="28"/>
        </w:rPr>
        <w:t>дукции (товаров, работ, услуг), значение</w:t>
      </w:r>
      <w:proofErr w:type="gramStart"/>
      <w:r w:rsidRPr="008D5E2C">
        <w:rPr>
          <w:bCs/>
          <w:spacing w:val="-2"/>
          <w:szCs w:val="28"/>
        </w:rPr>
        <w:t xml:space="preserve"> Д</w:t>
      </w:r>
      <w:proofErr w:type="gramEnd"/>
      <w:r w:rsidRPr="008D5E2C">
        <w:rPr>
          <w:bCs/>
          <w:spacing w:val="-2"/>
          <w:szCs w:val="28"/>
        </w:rPr>
        <w:t xml:space="preserve"> рассчитывается как половина су</w:t>
      </w:r>
      <w:r w:rsidRPr="008D5E2C">
        <w:rPr>
          <w:bCs/>
          <w:spacing w:val="-2"/>
          <w:szCs w:val="28"/>
        </w:rPr>
        <w:t>м</w:t>
      </w:r>
      <w:r w:rsidRPr="008D5E2C">
        <w:rPr>
          <w:bCs/>
          <w:spacing w:val="-2"/>
          <w:szCs w:val="28"/>
        </w:rPr>
        <w:t>мы удельного веса среднесписочной численности работников (расходов на оплату труда) по приоритетному инвестиционному проекту Ярославской о</w:t>
      </w:r>
      <w:r w:rsidRPr="008D5E2C">
        <w:rPr>
          <w:bCs/>
          <w:spacing w:val="-2"/>
          <w:szCs w:val="28"/>
        </w:rPr>
        <w:t>б</w:t>
      </w:r>
      <w:r w:rsidRPr="008D5E2C">
        <w:rPr>
          <w:bCs/>
          <w:spacing w:val="-2"/>
          <w:szCs w:val="28"/>
        </w:rPr>
        <w:t xml:space="preserve">ласти (приоритетным инвестиционным проектам Ярославской области) в среднесписочной численности работников (расходов на оплату труда) </w:t>
      </w:r>
      <w:proofErr w:type="gramStart"/>
      <w:r w:rsidRPr="008D5E2C">
        <w:rPr>
          <w:bCs/>
          <w:spacing w:val="-2"/>
          <w:szCs w:val="28"/>
        </w:rPr>
        <w:t>в целом по обособленному подразделению организации и удельного веса остаточной стоимости амортизируемого имущества по приоритетному инвестиционному проекту Ярославской области (приоритетным инвестиционным проектам Яр</w:t>
      </w:r>
      <w:r w:rsidRPr="008D5E2C">
        <w:rPr>
          <w:bCs/>
          <w:spacing w:val="-2"/>
          <w:szCs w:val="28"/>
        </w:rPr>
        <w:t>о</w:t>
      </w:r>
      <w:r w:rsidRPr="008D5E2C">
        <w:rPr>
          <w:bCs/>
          <w:spacing w:val="-2"/>
          <w:szCs w:val="28"/>
        </w:rPr>
        <w:t xml:space="preserve">славской области) </w:t>
      </w:r>
      <w:r w:rsidR="0051653E" w:rsidRPr="008D5E2C">
        <w:rPr>
          <w:bCs/>
          <w:spacing w:val="-2"/>
          <w:szCs w:val="28"/>
        </w:rPr>
        <w:t>(без учета стоимости объектов основных средств, по кот</w:t>
      </w:r>
      <w:r w:rsidR="0051653E" w:rsidRPr="008D5E2C">
        <w:rPr>
          <w:bCs/>
          <w:spacing w:val="-2"/>
          <w:szCs w:val="28"/>
        </w:rPr>
        <w:t>о</w:t>
      </w:r>
      <w:r w:rsidR="0051653E" w:rsidRPr="008D5E2C">
        <w:rPr>
          <w:bCs/>
          <w:spacing w:val="-2"/>
          <w:szCs w:val="28"/>
        </w:rPr>
        <w:lastRenderedPageBreak/>
        <w:t xml:space="preserve">рым инвестор воспользовался правом, предусмотренным пунктом 9 статьи 258 Налогового кодекса Российской Федерации, и (или) по которым начислялась амортизация, </w:t>
      </w:r>
      <w:proofErr w:type="spellStart"/>
      <w:r w:rsidR="0051653E" w:rsidRPr="008D5E2C">
        <w:rPr>
          <w:bCs/>
          <w:spacing w:val="-2"/>
          <w:szCs w:val="28"/>
        </w:rPr>
        <w:t>эксплуатировавшихся</w:t>
      </w:r>
      <w:proofErr w:type="spellEnd"/>
      <w:r w:rsidR="0051653E" w:rsidRPr="008D5E2C">
        <w:rPr>
          <w:bCs/>
          <w:spacing w:val="-2"/>
          <w:szCs w:val="28"/>
        </w:rPr>
        <w:t xml:space="preserve"> на территории Ярославской области до начала реализации приоритетного инвестиционного</w:t>
      </w:r>
      <w:proofErr w:type="gramEnd"/>
      <w:r w:rsidR="0051653E" w:rsidRPr="008D5E2C">
        <w:rPr>
          <w:bCs/>
          <w:spacing w:val="-2"/>
          <w:szCs w:val="28"/>
        </w:rPr>
        <w:t xml:space="preserve"> проекта Ярославской о</w:t>
      </w:r>
      <w:r w:rsidR="0051653E" w:rsidRPr="008D5E2C">
        <w:rPr>
          <w:bCs/>
          <w:spacing w:val="-2"/>
          <w:szCs w:val="28"/>
        </w:rPr>
        <w:t>б</w:t>
      </w:r>
      <w:r w:rsidR="0051653E" w:rsidRPr="008D5E2C">
        <w:rPr>
          <w:bCs/>
          <w:spacing w:val="-2"/>
          <w:szCs w:val="28"/>
        </w:rPr>
        <w:t>ласти (приоритетных инвестиционных проектов Ярославской области) в ост</w:t>
      </w:r>
      <w:r w:rsidR="0051653E" w:rsidRPr="008D5E2C">
        <w:rPr>
          <w:bCs/>
          <w:spacing w:val="-2"/>
          <w:szCs w:val="28"/>
        </w:rPr>
        <w:t>а</w:t>
      </w:r>
      <w:r w:rsidR="0051653E" w:rsidRPr="008D5E2C">
        <w:rPr>
          <w:bCs/>
          <w:spacing w:val="-2"/>
          <w:szCs w:val="28"/>
        </w:rPr>
        <w:t>точной стоимости амортизируемого имущества в целом по обособленному подразделению организации</w:t>
      </w:r>
      <w:r w:rsidR="00335909" w:rsidRPr="008D5E2C">
        <w:rPr>
          <w:bCs/>
          <w:spacing w:val="-2"/>
          <w:szCs w:val="28"/>
        </w:rPr>
        <w:t xml:space="preserve"> (</w:t>
      </w:r>
      <w:r w:rsidR="0051653E" w:rsidRPr="008D5E2C">
        <w:rPr>
          <w:bCs/>
          <w:spacing w:val="-2"/>
          <w:szCs w:val="28"/>
        </w:rPr>
        <w:t xml:space="preserve">≤ </w:t>
      </w:r>
      <w:r w:rsidR="00335909" w:rsidRPr="008D5E2C">
        <w:rPr>
          <w:bCs/>
          <w:spacing w:val="-2"/>
          <w:szCs w:val="28"/>
        </w:rPr>
        <w:t>1)</w:t>
      </w:r>
      <w:r w:rsidRPr="008D5E2C">
        <w:rPr>
          <w:bCs/>
          <w:spacing w:val="-2"/>
          <w:szCs w:val="28"/>
        </w:rPr>
        <w:t>.</w:t>
      </w:r>
    </w:p>
    <w:p w:rsidR="00346FED" w:rsidRPr="008D5E2C" w:rsidRDefault="00A31153" w:rsidP="008D5E2C">
      <w:pPr>
        <w:ind w:firstLine="709"/>
        <w:rPr>
          <w:bCs/>
          <w:szCs w:val="28"/>
        </w:rPr>
      </w:pPr>
      <w:r w:rsidRPr="008D5E2C">
        <w:rPr>
          <w:bCs/>
          <w:szCs w:val="28"/>
        </w:rPr>
        <w:t>3. </w:t>
      </w:r>
      <w:proofErr w:type="gramStart"/>
      <w:r w:rsidRPr="008D5E2C">
        <w:rPr>
          <w:bCs/>
          <w:szCs w:val="28"/>
        </w:rPr>
        <w:t>Инвестиционный налоговый вычет текущего налогового (отчетного) периода в части, превышающей предельную величину инвестиционного налогового вычета, может быть использован для уменьшения сумм налога (авансового платежа), подлежащих зачислению в областной бюджет, в п</w:t>
      </w:r>
      <w:r w:rsidRPr="008D5E2C">
        <w:rPr>
          <w:bCs/>
          <w:szCs w:val="28"/>
        </w:rPr>
        <w:t>о</w:t>
      </w:r>
      <w:r w:rsidRPr="008D5E2C">
        <w:rPr>
          <w:bCs/>
          <w:szCs w:val="28"/>
        </w:rPr>
        <w:t>следующих налоговых (отчетных) периодах до начала налогового периода, в течение которого наступило окончание срока предоставления финансовых форм государственной поддержки, определенного в соответствии с частью 2 статьи 13 Закона Ярославской области</w:t>
      </w:r>
      <w:proofErr w:type="gramEnd"/>
      <w:r w:rsidRPr="008D5E2C">
        <w:rPr>
          <w:bCs/>
          <w:szCs w:val="28"/>
        </w:rPr>
        <w:t xml:space="preserve"> от 19.12.2005 № 83-з «О государственном регулировании инвестиционной деятельности на терр</w:t>
      </w:r>
      <w:r w:rsidRPr="008D5E2C">
        <w:rPr>
          <w:bCs/>
          <w:szCs w:val="28"/>
        </w:rPr>
        <w:t>и</w:t>
      </w:r>
      <w:r w:rsidRPr="008D5E2C">
        <w:rPr>
          <w:bCs/>
          <w:szCs w:val="28"/>
        </w:rPr>
        <w:t>тории Ярославской области».</w:t>
      </w:r>
    </w:p>
    <w:p w:rsidR="00A31153" w:rsidRPr="008D5E2C" w:rsidRDefault="00A31153" w:rsidP="008D5E2C">
      <w:pPr>
        <w:ind w:firstLine="709"/>
        <w:rPr>
          <w:bCs/>
          <w:spacing w:val="-2"/>
          <w:szCs w:val="28"/>
        </w:rPr>
      </w:pPr>
    </w:p>
    <w:p w:rsidR="00346FED" w:rsidRPr="00846009" w:rsidRDefault="00335909" w:rsidP="008D5E2C">
      <w:pPr>
        <w:ind w:firstLine="709"/>
        <w:rPr>
          <w:b/>
          <w:bCs/>
          <w:szCs w:val="28"/>
        </w:rPr>
      </w:pPr>
      <w:r w:rsidRPr="00846009">
        <w:rPr>
          <w:bCs/>
          <w:szCs w:val="28"/>
        </w:rPr>
        <w:t xml:space="preserve">Статья 5. </w:t>
      </w:r>
      <w:r w:rsidR="00346FED" w:rsidRPr="00846009">
        <w:rPr>
          <w:b/>
          <w:bCs/>
          <w:szCs w:val="28"/>
        </w:rPr>
        <w:t xml:space="preserve">Объекты основных средств, в отношении которых </w:t>
      </w:r>
      <w:r w:rsidR="00846009">
        <w:rPr>
          <w:b/>
          <w:bCs/>
          <w:szCs w:val="28"/>
        </w:rPr>
        <w:br/>
      </w:r>
      <w:r w:rsidR="00346FED" w:rsidRPr="00846009">
        <w:rPr>
          <w:b/>
          <w:bCs/>
          <w:szCs w:val="28"/>
        </w:rPr>
        <w:t>налогоплательщикам предоставляется право на применен</w:t>
      </w:r>
      <w:r w:rsidR="00846009" w:rsidRPr="00846009">
        <w:rPr>
          <w:b/>
          <w:bCs/>
          <w:szCs w:val="28"/>
        </w:rPr>
        <w:t>ие</w:t>
      </w:r>
      <w:r w:rsidR="00F5440D" w:rsidRPr="00846009">
        <w:rPr>
          <w:b/>
          <w:bCs/>
          <w:szCs w:val="28"/>
        </w:rPr>
        <w:t xml:space="preserve"> </w:t>
      </w:r>
      <w:r w:rsidR="00846009">
        <w:rPr>
          <w:b/>
          <w:bCs/>
          <w:szCs w:val="28"/>
        </w:rPr>
        <w:br/>
      </w:r>
      <w:r w:rsidR="00346FED" w:rsidRPr="00846009">
        <w:rPr>
          <w:b/>
          <w:bCs/>
          <w:szCs w:val="28"/>
        </w:rPr>
        <w:t>инвестиционного налогового вычета</w:t>
      </w:r>
    </w:p>
    <w:p w:rsidR="00A31153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>1</w:t>
      </w:r>
      <w:r w:rsidR="00A31153" w:rsidRPr="008D5E2C">
        <w:rPr>
          <w:bCs/>
          <w:spacing w:val="-2"/>
          <w:szCs w:val="28"/>
        </w:rPr>
        <w:t>. Инвестиционный налоговый вычет применяется к объектам основных средств, относящимся к третьей – десятой амортизационным группам, за и</w:t>
      </w:r>
      <w:r w:rsidR="00A31153" w:rsidRPr="008D5E2C">
        <w:rPr>
          <w:bCs/>
          <w:spacing w:val="-2"/>
          <w:szCs w:val="28"/>
        </w:rPr>
        <w:t>с</w:t>
      </w:r>
      <w:r w:rsidR="00A31153" w:rsidRPr="008D5E2C">
        <w:rPr>
          <w:bCs/>
          <w:spacing w:val="-2"/>
          <w:szCs w:val="28"/>
        </w:rPr>
        <w:t>ключением относящихся к восьмой – десятой амортизационным группам зд</w:t>
      </w:r>
      <w:r w:rsidR="00A31153" w:rsidRPr="008D5E2C">
        <w:rPr>
          <w:bCs/>
          <w:spacing w:val="-2"/>
          <w:szCs w:val="28"/>
        </w:rPr>
        <w:t>а</w:t>
      </w:r>
      <w:r w:rsidR="00A31153" w:rsidRPr="008D5E2C">
        <w:rPr>
          <w:bCs/>
          <w:spacing w:val="-2"/>
          <w:szCs w:val="28"/>
        </w:rPr>
        <w:t>ний, сооружений, передаточных устройств, а также автомобилей легковых.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 xml:space="preserve">2. </w:t>
      </w:r>
      <w:proofErr w:type="gramStart"/>
      <w:r w:rsidRPr="008D5E2C">
        <w:rPr>
          <w:bCs/>
          <w:spacing w:val="-2"/>
          <w:szCs w:val="28"/>
        </w:rPr>
        <w:t>Право на применение инвестиционного налогового вычета предоста</w:t>
      </w:r>
      <w:r w:rsidRPr="008D5E2C">
        <w:rPr>
          <w:bCs/>
          <w:spacing w:val="-2"/>
          <w:szCs w:val="28"/>
        </w:rPr>
        <w:t>в</w:t>
      </w:r>
      <w:r w:rsidRPr="008D5E2C">
        <w:rPr>
          <w:bCs/>
          <w:spacing w:val="-2"/>
          <w:szCs w:val="28"/>
        </w:rPr>
        <w:t>ляется в отношении объектов вновь созданных или приобретенных основных средств, а также основных средств, подвергшихся модернизации, реконстру</w:t>
      </w:r>
      <w:r w:rsidRPr="008D5E2C">
        <w:rPr>
          <w:bCs/>
          <w:spacing w:val="-2"/>
          <w:szCs w:val="28"/>
        </w:rPr>
        <w:t>к</w:t>
      </w:r>
      <w:r w:rsidRPr="008D5E2C">
        <w:rPr>
          <w:bCs/>
          <w:spacing w:val="-2"/>
          <w:szCs w:val="28"/>
        </w:rPr>
        <w:t>ции, достройке, дооборудованию, техническому перевооружению, в целях р</w:t>
      </w:r>
      <w:r w:rsidRPr="008D5E2C">
        <w:rPr>
          <w:bCs/>
          <w:spacing w:val="-2"/>
          <w:szCs w:val="28"/>
        </w:rPr>
        <w:t>е</w:t>
      </w:r>
      <w:r w:rsidRPr="008D5E2C">
        <w:rPr>
          <w:bCs/>
          <w:spacing w:val="-2"/>
          <w:szCs w:val="28"/>
        </w:rPr>
        <w:t>ализации инвестиционного проекта после регистрации официального обращ</w:t>
      </w:r>
      <w:r w:rsidRPr="008D5E2C">
        <w:rPr>
          <w:bCs/>
          <w:spacing w:val="-2"/>
          <w:szCs w:val="28"/>
        </w:rPr>
        <w:t>е</w:t>
      </w:r>
      <w:r w:rsidRPr="008D5E2C">
        <w:rPr>
          <w:bCs/>
          <w:spacing w:val="-2"/>
          <w:szCs w:val="28"/>
        </w:rPr>
        <w:t>ния инвестора о включении инвестиционного проекта в перечень приорите</w:t>
      </w:r>
      <w:r w:rsidRPr="008D5E2C">
        <w:rPr>
          <w:bCs/>
          <w:spacing w:val="-2"/>
          <w:szCs w:val="28"/>
        </w:rPr>
        <w:t>т</w:t>
      </w:r>
      <w:r w:rsidRPr="008D5E2C">
        <w:rPr>
          <w:bCs/>
          <w:spacing w:val="-2"/>
          <w:szCs w:val="28"/>
        </w:rPr>
        <w:t>ных инвестиционных проектов Ярославской области либо официального о</w:t>
      </w:r>
      <w:r w:rsidRPr="008D5E2C">
        <w:rPr>
          <w:bCs/>
          <w:spacing w:val="-2"/>
          <w:szCs w:val="28"/>
        </w:rPr>
        <w:t>б</w:t>
      </w:r>
      <w:r w:rsidRPr="008D5E2C">
        <w:rPr>
          <w:bCs/>
          <w:spacing w:val="-2"/>
          <w:szCs w:val="28"/>
        </w:rPr>
        <w:t xml:space="preserve">ращения об изменении показателей </w:t>
      </w:r>
      <w:r w:rsidR="00D4220D" w:rsidRPr="008D5E2C">
        <w:rPr>
          <w:bCs/>
          <w:spacing w:val="-2"/>
          <w:szCs w:val="28"/>
        </w:rPr>
        <w:t xml:space="preserve">этого </w:t>
      </w:r>
      <w:r w:rsidRPr="008D5E2C">
        <w:rPr>
          <w:bCs/>
          <w:spacing w:val="-2"/>
          <w:szCs w:val="28"/>
        </w:rPr>
        <w:t>проекта.</w:t>
      </w:r>
      <w:proofErr w:type="gramEnd"/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 xml:space="preserve">3. </w:t>
      </w:r>
      <w:proofErr w:type="gramStart"/>
      <w:r w:rsidRPr="008D5E2C">
        <w:rPr>
          <w:bCs/>
          <w:spacing w:val="-2"/>
          <w:szCs w:val="28"/>
        </w:rPr>
        <w:t>Право на применение инвестиционного налогового вычета не пред</w:t>
      </w:r>
      <w:r w:rsidRPr="008D5E2C">
        <w:rPr>
          <w:bCs/>
          <w:spacing w:val="-2"/>
          <w:szCs w:val="28"/>
        </w:rPr>
        <w:t>о</w:t>
      </w:r>
      <w:r w:rsidRPr="008D5E2C">
        <w:rPr>
          <w:bCs/>
          <w:spacing w:val="-2"/>
          <w:szCs w:val="28"/>
        </w:rPr>
        <w:t>ставляется в отношении объектов основных средств, приобретенных в резул</w:t>
      </w:r>
      <w:r w:rsidRPr="008D5E2C">
        <w:rPr>
          <w:bCs/>
          <w:spacing w:val="-2"/>
          <w:szCs w:val="28"/>
        </w:rPr>
        <w:t>ь</w:t>
      </w:r>
      <w:r w:rsidRPr="008D5E2C">
        <w:rPr>
          <w:bCs/>
          <w:spacing w:val="-2"/>
          <w:szCs w:val="28"/>
        </w:rPr>
        <w:t>тате реорганизации (ликвидации) юридического лица, и объектов основных средств, полученных по сделке с лицами, признаваемыми в соответствии с п</w:t>
      </w:r>
      <w:r w:rsidRPr="008D5E2C">
        <w:rPr>
          <w:bCs/>
          <w:spacing w:val="-2"/>
          <w:szCs w:val="28"/>
        </w:rPr>
        <w:t>о</w:t>
      </w:r>
      <w:r w:rsidRPr="008D5E2C">
        <w:rPr>
          <w:bCs/>
          <w:spacing w:val="-2"/>
          <w:szCs w:val="28"/>
        </w:rPr>
        <w:t>ложениями пункта 2 статьи 105</w:t>
      </w:r>
      <w:r w:rsidRPr="008D5E2C">
        <w:rPr>
          <w:bCs/>
          <w:spacing w:val="-2"/>
          <w:szCs w:val="28"/>
          <w:vertAlign w:val="superscript"/>
        </w:rPr>
        <w:t>1</w:t>
      </w:r>
      <w:r w:rsidRPr="008D5E2C">
        <w:rPr>
          <w:bCs/>
          <w:spacing w:val="-2"/>
          <w:szCs w:val="28"/>
        </w:rPr>
        <w:t xml:space="preserve"> Налогового кодекса Российской Федерации взаимозависимыми и (или) аффилированными по отношению к таким налог</w:t>
      </w:r>
      <w:r w:rsidRPr="008D5E2C">
        <w:rPr>
          <w:bCs/>
          <w:spacing w:val="-2"/>
          <w:szCs w:val="28"/>
        </w:rPr>
        <w:t>о</w:t>
      </w:r>
      <w:r w:rsidRPr="008D5E2C">
        <w:rPr>
          <w:bCs/>
          <w:spacing w:val="-2"/>
          <w:szCs w:val="28"/>
        </w:rPr>
        <w:t>плательщикам.</w:t>
      </w:r>
      <w:proofErr w:type="gramEnd"/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</w:p>
    <w:p w:rsidR="00C64DDC" w:rsidRDefault="00C64DDC">
      <w:pPr>
        <w:ind w:firstLine="0"/>
        <w:jc w:val="left"/>
        <w:rPr>
          <w:bCs/>
          <w:spacing w:val="-2"/>
          <w:szCs w:val="28"/>
        </w:rPr>
      </w:pPr>
      <w:r>
        <w:rPr>
          <w:bCs/>
          <w:spacing w:val="-2"/>
          <w:szCs w:val="28"/>
        </w:rPr>
        <w:br w:type="page"/>
      </w:r>
    </w:p>
    <w:p w:rsidR="00346FED" w:rsidRPr="008D5E2C" w:rsidRDefault="00346FED" w:rsidP="008D5E2C">
      <w:pPr>
        <w:ind w:firstLine="709"/>
        <w:rPr>
          <w:b/>
          <w:bCs/>
          <w:spacing w:val="-2"/>
          <w:szCs w:val="28"/>
        </w:rPr>
      </w:pPr>
      <w:r w:rsidRPr="008D5E2C">
        <w:rPr>
          <w:bCs/>
          <w:spacing w:val="-2"/>
          <w:szCs w:val="28"/>
        </w:rPr>
        <w:lastRenderedPageBreak/>
        <w:t xml:space="preserve">Статья </w:t>
      </w:r>
      <w:r w:rsidR="00A31153" w:rsidRPr="008D5E2C">
        <w:rPr>
          <w:bCs/>
          <w:spacing w:val="-2"/>
          <w:szCs w:val="28"/>
        </w:rPr>
        <w:t>6</w:t>
      </w:r>
      <w:r w:rsidRPr="008D5E2C">
        <w:rPr>
          <w:bCs/>
          <w:spacing w:val="-2"/>
          <w:szCs w:val="28"/>
        </w:rPr>
        <w:t xml:space="preserve">. </w:t>
      </w:r>
      <w:r w:rsidRPr="008D5E2C">
        <w:rPr>
          <w:b/>
          <w:bCs/>
          <w:spacing w:val="-2"/>
          <w:szCs w:val="28"/>
        </w:rPr>
        <w:t>Вступление в силу настоящего Закона</w:t>
      </w:r>
    </w:p>
    <w:p w:rsidR="00A31153" w:rsidRPr="00C64DDC" w:rsidRDefault="00A31153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 xml:space="preserve">1. </w:t>
      </w:r>
      <w:r w:rsidRPr="00C64DDC">
        <w:rPr>
          <w:bCs/>
          <w:spacing w:val="-4"/>
          <w:szCs w:val="28"/>
        </w:rPr>
        <w:t>Настоящий Закон вступает в силу со дня его официального опублик</w:t>
      </w:r>
      <w:r w:rsidRPr="00C64DDC">
        <w:rPr>
          <w:bCs/>
          <w:spacing w:val="-4"/>
          <w:szCs w:val="28"/>
        </w:rPr>
        <w:t>о</w:t>
      </w:r>
      <w:r w:rsidRPr="00C64DDC">
        <w:rPr>
          <w:bCs/>
          <w:spacing w:val="-4"/>
          <w:szCs w:val="28"/>
        </w:rPr>
        <w:t>вания и распространяется</w:t>
      </w:r>
      <w:r w:rsidRPr="00C64DDC">
        <w:rPr>
          <w:bCs/>
          <w:spacing w:val="-2"/>
          <w:szCs w:val="28"/>
        </w:rPr>
        <w:t xml:space="preserve"> на правоотношения, возникшие с 1 января 2021 года.</w:t>
      </w:r>
    </w:p>
    <w:p w:rsidR="00346FED" w:rsidRPr="008D5E2C" w:rsidRDefault="00346FED" w:rsidP="008D5E2C">
      <w:pPr>
        <w:ind w:firstLine="709"/>
        <w:rPr>
          <w:bCs/>
          <w:spacing w:val="-2"/>
          <w:szCs w:val="28"/>
        </w:rPr>
      </w:pPr>
      <w:r w:rsidRPr="008D5E2C">
        <w:rPr>
          <w:bCs/>
          <w:spacing w:val="-2"/>
          <w:szCs w:val="28"/>
        </w:rPr>
        <w:t>2. Положения настоящего Закона применяются по 31 декабря 2027 года включительно.</w:t>
      </w:r>
    </w:p>
    <w:p w:rsidR="002D2779" w:rsidRPr="008D5E2C" w:rsidRDefault="002D2779" w:rsidP="008D5E2C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EA42B9" w:rsidRPr="008D5E2C" w:rsidRDefault="00EA42B9" w:rsidP="008D5E2C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DC2951" w:rsidRPr="008D5E2C" w:rsidRDefault="00DC2951" w:rsidP="008D5E2C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BB32E5" w:rsidRDefault="00BB32E5" w:rsidP="00BB32E5">
      <w:pPr>
        <w:pStyle w:val="af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</w:p>
    <w:p w:rsidR="00BB32E5" w:rsidRDefault="00BB32E5" w:rsidP="00BB32E5">
      <w:pPr>
        <w:pStyle w:val="af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Губернатора</w:t>
      </w:r>
    </w:p>
    <w:p w:rsidR="00BB32E5" w:rsidRDefault="00BB32E5" w:rsidP="00BB32E5">
      <w:pPr>
        <w:pStyle w:val="afb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  <w:r>
        <w:rPr>
          <w:sz w:val="28"/>
          <w:szCs w:val="28"/>
        </w:rPr>
        <w:tab/>
        <w:t xml:space="preserve">     И.В. </w:t>
      </w:r>
      <w:proofErr w:type="spellStart"/>
      <w:r>
        <w:rPr>
          <w:sz w:val="28"/>
          <w:szCs w:val="28"/>
        </w:rPr>
        <w:t>Баланин</w:t>
      </w:r>
      <w:proofErr w:type="spellEnd"/>
    </w:p>
    <w:p w:rsidR="00F34DFD" w:rsidRPr="008D5E2C" w:rsidRDefault="00F34DFD" w:rsidP="008D5E2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C2951" w:rsidRPr="008D5E2C" w:rsidRDefault="00DC2951" w:rsidP="008D5E2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8D5E2C" w:rsidRDefault="00BF717D" w:rsidP="008D5E2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FB5808">
        <w:rPr>
          <w:bCs/>
          <w:szCs w:val="28"/>
        </w:rPr>
        <w:t>05 октября</w:t>
      </w:r>
      <w:r>
        <w:rPr>
          <w:szCs w:val="28"/>
        </w:rPr>
        <w:t xml:space="preserve"> </w:t>
      </w:r>
      <w:r w:rsidR="00F34DFD" w:rsidRPr="008D5E2C">
        <w:rPr>
          <w:bCs/>
          <w:szCs w:val="28"/>
        </w:rPr>
        <w:t>202</w:t>
      </w:r>
      <w:r w:rsidR="00C66878" w:rsidRPr="008D5E2C">
        <w:rPr>
          <w:bCs/>
          <w:szCs w:val="28"/>
        </w:rPr>
        <w:t>1</w:t>
      </w:r>
      <w:r w:rsidR="00F34DFD" w:rsidRPr="008D5E2C">
        <w:rPr>
          <w:bCs/>
          <w:szCs w:val="28"/>
        </w:rPr>
        <w:t xml:space="preserve"> г.</w:t>
      </w:r>
    </w:p>
    <w:p w:rsidR="00F34DFD" w:rsidRPr="008D5E2C" w:rsidRDefault="00F34DFD" w:rsidP="008D5E2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8D5E2C" w:rsidRDefault="00F34DFD" w:rsidP="008D5E2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8D5E2C">
        <w:rPr>
          <w:bCs/>
          <w:szCs w:val="28"/>
        </w:rPr>
        <w:t>№</w:t>
      </w:r>
      <w:r w:rsidR="008D5E2C">
        <w:rPr>
          <w:bCs/>
          <w:szCs w:val="28"/>
        </w:rPr>
        <w:t xml:space="preserve"> </w:t>
      </w:r>
      <w:r w:rsidR="00BF717D">
        <w:rPr>
          <w:bCs/>
          <w:szCs w:val="28"/>
        </w:rPr>
        <w:t>73-з</w:t>
      </w:r>
    </w:p>
    <w:sectPr w:rsidR="00572F15" w:rsidRPr="008D5E2C" w:rsidSect="00C64DDC">
      <w:headerReference w:type="even" r:id="rId12"/>
      <w:headerReference w:type="default" r:id="rId13"/>
      <w:pgSz w:w="11906" w:h="16838" w:code="9"/>
      <w:pgMar w:top="1418" w:right="851" w:bottom="1418" w:left="1701" w:header="68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9B" w:rsidRDefault="00CE749B">
      <w:r>
        <w:separator/>
      </w:r>
    </w:p>
    <w:p w:rsidR="00CE749B" w:rsidRDefault="00CE749B"/>
    <w:p w:rsidR="00CE749B" w:rsidRDefault="00CE749B"/>
  </w:endnote>
  <w:endnote w:type="continuationSeparator" w:id="0">
    <w:p w:rsidR="00CE749B" w:rsidRDefault="00CE749B">
      <w:r>
        <w:continuationSeparator/>
      </w:r>
    </w:p>
    <w:p w:rsidR="00CE749B" w:rsidRDefault="00CE749B"/>
    <w:p w:rsidR="00CE749B" w:rsidRDefault="00CE7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9B" w:rsidRDefault="00CE749B">
      <w:r>
        <w:separator/>
      </w:r>
    </w:p>
    <w:p w:rsidR="00CE749B" w:rsidRDefault="00CE749B"/>
    <w:p w:rsidR="00CE749B" w:rsidRDefault="00CE749B"/>
  </w:footnote>
  <w:footnote w:type="continuationSeparator" w:id="0">
    <w:p w:rsidR="00CE749B" w:rsidRDefault="00CE749B">
      <w:r>
        <w:continuationSeparator/>
      </w:r>
    </w:p>
    <w:p w:rsidR="00CE749B" w:rsidRDefault="00CE749B"/>
    <w:p w:rsidR="00CE749B" w:rsidRDefault="00CE74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951331"/>
      <w:docPartObj>
        <w:docPartGallery w:val="Page Numbers (Top of Page)"/>
        <w:docPartUnique/>
      </w:docPartObj>
    </w:sdtPr>
    <w:sdtEndPr/>
    <w:sdtContent>
      <w:p w:rsidR="00C64DDC" w:rsidRDefault="00A4522B" w:rsidP="008D5E2C">
        <w:pPr>
          <w:pStyle w:val="a6"/>
          <w:tabs>
            <w:tab w:val="clear" w:pos="4677"/>
          </w:tabs>
          <w:ind w:firstLine="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D7">
          <w:rPr>
            <w:noProof/>
          </w:rPr>
          <w:t>2</w:t>
        </w:r>
        <w:r>
          <w:fldChar w:fldCharType="end"/>
        </w:r>
      </w:p>
      <w:p w:rsidR="00A4522B" w:rsidRDefault="00CE749B" w:rsidP="008D5E2C">
        <w:pPr>
          <w:pStyle w:val="a6"/>
          <w:tabs>
            <w:tab w:val="clear" w:pos="4677"/>
          </w:tabs>
          <w:ind w:firstLine="142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2AC3"/>
    <w:rsid w:val="000339C7"/>
    <w:rsid w:val="00034B87"/>
    <w:rsid w:val="00034F34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266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52B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4D3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5773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0DD7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83B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35909"/>
    <w:rsid w:val="00342D61"/>
    <w:rsid w:val="00343027"/>
    <w:rsid w:val="003435E1"/>
    <w:rsid w:val="00343B80"/>
    <w:rsid w:val="00344057"/>
    <w:rsid w:val="003462B7"/>
    <w:rsid w:val="00346BD6"/>
    <w:rsid w:val="00346FED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53E"/>
    <w:rsid w:val="0051682B"/>
    <w:rsid w:val="00516C18"/>
    <w:rsid w:val="00517798"/>
    <w:rsid w:val="00517C30"/>
    <w:rsid w:val="005201D5"/>
    <w:rsid w:val="00521D9E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25B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679B1"/>
    <w:rsid w:val="006705E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5EB1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2DC1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600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66A4C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E2C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10ED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25DD"/>
    <w:rsid w:val="009835C1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0442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52DF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1153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460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2E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3C4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BF717D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4DDC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1EEB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49B"/>
    <w:rsid w:val="00CE7FAD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20D"/>
    <w:rsid w:val="00D423A5"/>
    <w:rsid w:val="00D42B02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3CE2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951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B9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A80"/>
    <w:rsid w:val="00EF366F"/>
    <w:rsid w:val="00EF43DD"/>
    <w:rsid w:val="00EF5C0C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440D"/>
    <w:rsid w:val="00F568E2"/>
    <w:rsid w:val="00F56AE0"/>
    <w:rsid w:val="00F56FE0"/>
    <w:rsid w:val="00F60071"/>
    <w:rsid w:val="00F60F75"/>
    <w:rsid w:val="00F63582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204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paragraph" w:styleId="afb">
    <w:name w:val="Normal (Web)"/>
    <w:basedOn w:val="a0"/>
    <w:uiPriority w:val="99"/>
    <w:unhideWhenUsed/>
    <w:rsid w:val="00BB32E5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paragraph" w:styleId="afb">
    <w:name w:val="Normal (Web)"/>
    <w:basedOn w:val="a0"/>
    <w:uiPriority w:val="99"/>
    <w:unhideWhenUsed/>
    <w:rsid w:val="00BB32E5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FA9A9-B336-40A1-A9C5-EE5B84B1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7178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12</cp:revision>
  <cp:lastPrinted>2021-06-10T13:29:00Z</cp:lastPrinted>
  <dcterms:created xsi:type="dcterms:W3CDTF">2021-06-23T13:12:00Z</dcterms:created>
  <dcterms:modified xsi:type="dcterms:W3CDTF">2021-10-06T11:10:00Z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