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896" w:rsidRPr="0090216D" w:rsidRDefault="00D92896" w:rsidP="0090216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0216D">
        <w:rPr>
          <w:rFonts w:ascii="Times New Roman" w:hAnsi="Times New Roman"/>
          <w:sz w:val="28"/>
          <w:szCs w:val="28"/>
        </w:rPr>
        <w:t>Приложение</w:t>
      </w:r>
    </w:p>
    <w:p w:rsidR="00D92896" w:rsidRPr="0090216D" w:rsidRDefault="00D92896" w:rsidP="0090216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0216D">
        <w:rPr>
          <w:rFonts w:ascii="Times New Roman" w:hAnsi="Times New Roman"/>
          <w:sz w:val="28"/>
          <w:szCs w:val="28"/>
        </w:rPr>
        <w:t>к Постановлению</w:t>
      </w:r>
    </w:p>
    <w:p w:rsidR="00D92896" w:rsidRPr="0090216D" w:rsidRDefault="00D92896" w:rsidP="0090216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0216D">
        <w:rPr>
          <w:rFonts w:ascii="Times New Roman" w:hAnsi="Times New Roman"/>
          <w:sz w:val="28"/>
          <w:szCs w:val="28"/>
        </w:rPr>
        <w:t>Ярославской областной Думы</w:t>
      </w:r>
    </w:p>
    <w:p w:rsidR="00D92896" w:rsidRPr="00F41ED3" w:rsidRDefault="00D92896" w:rsidP="0090216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90216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29.05.2012 г</w:t>
      </w:r>
      <w:r w:rsidRPr="0090216D">
        <w:rPr>
          <w:rFonts w:ascii="Times New Roman" w:hAnsi="Times New Roman"/>
          <w:sz w:val="28"/>
          <w:szCs w:val="28"/>
        </w:rPr>
        <w:t xml:space="preserve">. № </w:t>
      </w:r>
      <w:r>
        <w:rPr>
          <w:rFonts w:ascii="Times New Roman" w:hAnsi="Times New Roman"/>
          <w:sz w:val="28"/>
          <w:szCs w:val="28"/>
          <w:lang w:val="en-US"/>
        </w:rPr>
        <w:t>102</w:t>
      </w:r>
    </w:p>
    <w:p w:rsidR="00D92896" w:rsidRDefault="00D92896" w:rsidP="00E22D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D92896" w:rsidRPr="004C498F" w:rsidRDefault="00D92896" w:rsidP="00E22DF7">
      <w:pPr>
        <w:jc w:val="center"/>
        <w:rPr>
          <w:rFonts w:ascii="Times New Roman" w:hAnsi="Times New Roman"/>
          <w:b/>
          <w:sz w:val="28"/>
          <w:szCs w:val="28"/>
        </w:rPr>
      </w:pPr>
      <w:r w:rsidRPr="004C498F">
        <w:rPr>
          <w:rFonts w:ascii="Times New Roman" w:hAnsi="Times New Roman"/>
          <w:b/>
          <w:sz w:val="28"/>
          <w:szCs w:val="28"/>
        </w:rPr>
        <w:t>Поправки к проекту федерального закона № 2372-6 «О карантине растений»</w:t>
      </w:r>
    </w:p>
    <w:tbl>
      <w:tblPr>
        <w:tblW w:w="15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8"/>
        <w:gridCol w:w="6630"/>
        <w:gridCol w:w="2036"/>
        <w:gridCol w:w="2340"/>
        <w:gridCol w:w="3780"/>
      </w:tblGrid>
      <w:tr w:rsidR="00D92896" w:rsidRPr="00442768" w:rsidTr="0090216D">
        <w:trPr>
          <w:trHeight w:val="144"/>
        </w:trPr>
        <w:tc>
          <w:tcPr>
            <w:tcW w:w="678" w:type="dxa"/>
          </w:tcPr>
          <w:p w:rsidR="00D92896" w:rsidRPr="00442768" w:rsidRDefault="00D92896" w:rsidP="004427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92896" w:rsidRPr="00442768" w:rsidRDefault="00D92896" w:rsidP="00442768">
            <w:pPr>
              <w:spacing w:after="0" w:line="240" w:lineRule="auto"/>
            </w:pPr>
            <w:r w:rsidRPr="0044276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630" w:type="dxa"/>
          </w:tcPr>
          <w:p w:rsidR="00D92896" w:rsidRPr="00442768" w:rsidRDefault="00D92896" w:rsidP="004427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Текст, к которому предлагается поправка</w:t>
            </w:r>
          </w:p>
        </w:tc>
        <w:tc>
          <w:tcPr>
            <w:tcW w:w="2036" w:type="dxa"/>
          </w:tcPr>
          <w:p w:rsidR="00D92896" w:rsidRPr="005A2CFC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Автор</w:t>
            </w:r>
          </w:p>
          <w:p w:rsidR="00D92896" w:rsidRPr="00442768" w:rsidRDefault="00D92896" w:rsidP="0090216D">
            <w:pPr>
              <w:spacing w:after="0" w:line="240" w:lineRule="auto"/>
              <w:jc w:val="center"/>
            </w:pPr>
            <w:r w:rsidRPr="00442768">
              <w:rPr>
                <w:rFonts w:ascii="Times New Roman" w:hAnsi="Times New Roman"/>
                <w:sz w:val="28"/>
                <w:szCs w:val="28"/>
              </w:rPr>
              <w:t>поправки</w:t>
            </w:r>
          </w:p>
        </w:tc>
        <w:tc>
          <w:tcPr>
            <w:tcW w:w="2340" w:type="dxa"/>
          </w:tcPr>
          <w:p w:rsidR="00D92896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  <w:p w:rsidR="00D92896" w:rsidRPr="00442768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поправки</w:t>
            </w:r>
          </w:p>
        </w:tc>
        <w:tc>
          <w:tcPr>
            <w:tcW w:w="3780" w:type="dxa"/>
          </w:tcPr>
          <w:p w:rsidR="00D92896" w:rsidRPr="00442768" w:rsidRDefault="00D92896" w:rsidP="004427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Новая редакция текста зак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нопроекта с предлагаемой поправкой</w:t>
            </w:r>
          </w:p>
        </w:tc>
      </w:tr>
      <w:tr w:rsidR="00D92896" w:rsidRPr="00442768" w:rsidTr="0090216D">
        <w:trPr>
          <w:trHeight w:val="144"/>
        </w:trPr>
        <w:tc>
          <w:tcPr>
            <w:tcW w:w="678" w:type="dxa"/>
          </w:tcPr>
          <w:p w:rsidR="00D92896" w:rsidRPr="00442768" w:rsidRDefault="00D92896" w:rsidP="00442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30" w:type="dxa"/>
          </w:tcPr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2768">
              <w:rPr>
                <w:rFonts w:ascii="Times New Roman" w:hAnsi="Times New Roman"/>
                <w:b/>
                <w:sz w:val="28"/>
                <w:szCs w:val="28"/>
              </w:rPr>
              <w:t>Статья 15, часть 4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t xml:space="preserve"> 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Проверка соблюдения запрета на вывоз партии по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д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карантинной продукции, характерной для заражения (засорения) карантинным вредным организмом, в связи с проникновением (распространением) котор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го был введен карантинный фитосанитарный режим, за пределы карантинной фитосанитарной зоны без письменного разрешения осуществляется на гран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цах карантинной фитосанитарной зоны. Проверка соблюдения указанного запрета за пределами границ карантинной фитосанитарной зоны не допускается.</w:t>
            </w:r>
          </w:p>
        </w:tc>
        <w:tc>
          <w:tcPr>
            <w:tcW w:w="2036" w:type="dxa"/>
          </w:tcPr>
          <w:p w:rsidR="00D92896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Ярославская областная</w:t>
            </w:r>
          </w:p>
          <w:p w:rsidR="00D92896" w:rsidRPr="00442768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Дума</w:t>
            </w:r>
          </w:p>
        </w:tc>
        <w:tc>
          <w:tcPr>
            <w:tcW w:w="2340" w:type="dxa"/>
          </w:tcPr>
          <w:p w:rsidR="00D92896" w:rsidRPr="00442768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Исключить</w:t>
            </w:r>
          </w:p>
        </w:tc>
        <w:tc>
          <w:tcPr>
            <w:tcW w:w="3780" w:type="dxa"/>
          </w:tcPr>
          <w:p w:rsidR="00D92896" w:rsidRPr="00442768" w:rsidRDefault="00D92896" w:rsidP="00442768">
            <w:pPr>
              <w:spacing w:after="0" w:line="240" w:lineRule="auto"/>
            </w:pPr>
            <w:bookmarkStart w:id="0" w:name="_GoBack"/>
            <w:bookmarkEnd w:id="0"/>
          </w:p>
        </w:tc>
      </w:tr>
      <w:tr w:rsidR="00D92896" w:rsidRPr="00442768" w:rsidTr="0090216D">
        <w:trPr>
          <w:trHeight w:val="144"/>
        </w:trPr>
        <w:tc>
          <w:tcPr>
            <w:tcW w:w="678" w:type="dxa"/>
          </w:tcPr>
          <w:p w:rsidR="00D92896" w:rsidRPr="00442768" w:rsidRDefault="00D92896" w:rsidP="00442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30" w:type="dxa"/>
          </w:tcPr>
          <w:p w:rsidR="00D92896" w:rsidRPr="00442768" w:rsidRDefault="00D92896" w:rsidP="00442768">
            <w:pPr>
              <w:spacing w:after="0" w:line="240" w:lineRule="auto"/>
              <w:rPr>
                <w:b/>
              </w:rPr>
            </w:pPr>
            <w:r w:rsidRPr="00442768">
              <w:rPr>
                <w:rFonts w:ascii="Times New Roman" w:hAnsi="Times New Roman"/>
                <w:b/>
                <w:sz w:val="28"/>
                <w:szCs w:val="28"/>
              </w:rPr>
              <w:t>Статья 16</w:t>
            </w:r>
            <w:r w:rsidRPr="00442768">
              <w:rPr>
                <w:b/>
              </w:rPr>
              <w:t xml:space="preserve"> </w:t>
            </w:r>
          </w:p>
          <w:p w:rsidR="00D92896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Вывоз партии подкарантинной продукции из кара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тинной фитосанитарной зоны</w:t>
            </w:r>
          </w:p>
          <w:p w:rsidR="00D92896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1. В целях обеспечения карантина растений в случае введения карантинного фитосанитарного режима и установления запрета, предусмотренного пунктом 5 части 5 статьи 13 настоящего Федерального закона, вывоз подкарантинной продукции, характерной для заражения (засорения) карантинным вредным орг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низмом, в отношении которого был введен кара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тинный фитосанитарный режим, за пределы кара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тинной фитосанитарной зоны осуществляется на 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с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новании письменного разрешения на вывоз партии подкарантинной продукции.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2. Для получения разрешения на вывоз партии по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д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карантинной продукции физическое или юридич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ское лицо представляет в территориальный орган уполномоченного федерального органа исполн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тельной власти: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1) заявление о выдаче разрешения на вывоз партии подкарантинной продукции;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2) сведения о наименовании и месте нахождения п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лучателя (грузополучателя) и отправителя (грузоо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правителя) подкарантинной продукции в соответс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вии с транспортными и иными документами;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3) сведения о наименовании и объеме партии подк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рантинной продукции;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4) сведения о транспортном средстве (тип, марка, р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гистрационный номер, номер железнодорожного в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гона (контейнера), если перевозка осуществляется железнодорожным транспортом);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5) заключение о карантинном фитосанитарном с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стоянии подкарантинной продукции, подтвержда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ю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щее отсутствие заражения (засорения) подкаранти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ной продукции карантинными вредными организм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ми, характерными для данного вида подкарантинной продукции, выданное аккредитованной лаборатор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ей (испытательным центром).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3. В отношении партии подкарантинной продукции проводятся контрольные мероприятия, предусмо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ренные частью 5 статьи 23 настоящего Федерального закона.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4. Разрешение на вывоз партии подкарантинной пр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дукции выдается территориальным органом уполн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моченного федерального органа исполнительной власти в течение одного дня с момента представл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ния физическим или юридическим лицом докуме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тов и сведений, предусмотренных частью 2 насто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я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щей статьи.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5. Основанием для отказа в выдаче разрешения на вывоз партии подкарантинной продукции является:</w:t>
            </w:r>
          </w:p>
          <w:p w:rsidR="00D92896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1) непредставление физическим или юридическим лицом документов и сведений, предусмотренных ч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стью 2 настоящей статьи;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2) представление физическим или юридическим л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цом не соответствующих действительности свед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ний;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3) заражение (засорение) карантинными вредными организмами партии подкарантинной продукции, о чем указано в заключении о карантинном фитосан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тарном состоянии подкарантинной продукции.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6. Решение об отказе в выдаче разрешения на вывоз партии подкарантинной продукции с обоснованием причин отказа доводится до сведения физического или юридического лица в течение трех дней со дня принятия такого решения.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Решение об отказе в выдаче разрешения на вывоз партии подкарантинной продукции может быть 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б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жаловано в судебном порядке.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7. Контроль за вывозом подкарантинной продукции, характерной для заражения (засорения) каранти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ным вредным организмом, в отношении которого был введен карантинный фитосанитарный режим, осуществляется на границе карантинной фитосан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тарной зоны. При проведении контроля на границе карантинной фитосанитарной зоны разрешение на вывоз партии подкарантинной продукции изымается уполномоченными должностными лицами террит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риального органа уполномоченного федерального органа исполнительной власти.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Проверка разрешения на вывоз партии подкаранти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ной продукции за границами карантинной фитосан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тарной зоны не допускается.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Подкарантинная продукция, вывезенная за границы карантинной фитосанитарной зоны без разрешения, подлежит возврату, обеззараживанию, а при нево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з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можности обеззараживания - изъятию и уничтож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нию.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Порядок принятия решения о невозможности обе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з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зараживания подкарантинной продукции, вывезе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ной за границы карантинной фитосанитарной зоны без получения разрешения, порядок выдачи разр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шений на вывоз подкарантинной продукции за гр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ницы карантинной фитосанитарной зоны, а также возврата, изъятия и уничтожения подкарантинной продукции, вывезенной за границы карантинной ф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тосанитарной зоны без получения разрешения, фо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р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ма разрешения на вывоз подкарантинной продукции из карантинной фитосанитарной зоны устанавлив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ются уполномоченным федеральным органом 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с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полнительной власти.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Уполномоченный федеральный орган исполнител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ь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ной власти ведет реестр разрешений на вывоз партии подкарантинной продукции за пределы карантинной фитосанитарной зоны, порядок формирования и в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дения которого устанавливается уполномоченным федеральным органом исполнительной власти.</w:t>
            </w:r>
          </w:p>
        </w:tc>
        <w:tc>
          <w:tcPr>
            <w:tcW w:w="2036" w:type="dxa"/>
          </w:tcPr>
          <w:p w:rsidR="00D92896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Ярославская областная</w:t>
            </w:r>
          </w:p>
          <w:p w:rsidR="00D92896" w:rsidRPr="00442768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Дума</w:t>
            </w:r>
          </w:p>
        </w:tc>
        <w:tc>
          <w:tcPr>
            <w:tcW w:w="2340" w:type="dxa"/>
          </w:tcPr>
          <w:p w:rsidR="00D92896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Изложить</w:t>
            </w:r>
          </w:p>
          <w:p w:rsidR="00D92896" w:rsidRPr="00442768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в новой редакции</w:t>
            </w:r>
          </w:p>
        </w:tc>
        <w:tc>
          <w:tcPr>
            <w:tcW w:w="3780" w:type="dxa"/>
          </w:tcPr>
          <w:p w:rsidR="00D92896" w:rsidRPr="00442768" w:rsidRDefault="00D92896" w:rsidP="0044276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42768">
              <w:rPr>
                <w:rFonts w:ascii="Times New Roman" w:hAnsi="Times New Roman"/>
                <w:b/>
                <w:sz w:val="28"/>
                <w:szCs w:val="28"/>
              </w:rPr>
              <w:t>Статья 16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Карантинная фитосанитарная сертификация подкаранти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ной продукции (подкара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тинного материала, подк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рантинного груза)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2896" w:rsidRPr="00442768" w:rsidRDefault="00D92896" w:rsidP="00442768">
            <w:pPr>
              <w:spacing w:after="0" w:line="240" w:lineRule="auto"/>
              <w:jc w:val="both"/>
            </w:pPr>
            <w:r w:rsidRPr="00442768">
              <w:rPr>
                <w:rFonts w:ascii="Times New Roman" w:hAnsi="Times New Roman"/>
                <w:sz w:val="28"/>
                <w:szCs w:val="28"/>
              </w:rPr>
              <w:t>Ввоз в свободные от кара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тинных объектов зоны, вывоз из карантинных фитосан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тарных зон и перевозки по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д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карантинной продукции (подкарантинного материала, подкарантинного груза), произведенной на террит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рии Российской Федерации, в случаях, предусмотренных правилами и нормами обе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с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печения карантина растений, разрешаются, если на такую подкарантинную продукцию (подкарантинный материал, подкарантинный груз) им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ется выданный в установле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ном законодательством Ро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с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сийской Федерации порядке органом государственного надзора карантинный серт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фикат, удостоверяющий с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ответствие подкарантинной продукции (подкарантинного материала, подкарантинного груза) требованиям правил и норм обеспечения карантина растений.</w:t>
            </w:r>
          </w:p>
        </w:tc>
      </w:tr>
      <w:tr w:rsidR="00D92896" w:rsidRPr="00442768" w:rsidTr="0090216D">
        <w:trPr>
          <w:trHeight w:val="144"/>
        </w:trPr>
        <w:tc>
          <w:tcPr>
            <w:tcW w:w="678" w:type="dxa"/>
          </w:tcPr>
          <w:p w:rsidR="00D92896" w:rsidRPr="00442768" w:rsidRDefault="00D92896" w:rsidP="00442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30" w:type="dxa"/>
          </w:tcPr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2768">
              <w:rPr>
                <w:rFonts w:ascii="Times New Roman" w:hAnsi="Times New Roman"/>
                <w:b/>
                <w:sz w:val="28"/>
                <w:szCs w:val="28"/>
              </w:rPr>
              <w:t>Статья 18, части 4 и 5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 xml:space="preserve"> 4. Проведение работ по обеззараживанию подкара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тинной продукции осуществляют физические и юридические лица, получившие государственную аккредитацию в соответствии со статьей 19 насто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я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щего Федерального закона. Указанными лицами проводятся работы: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1) по обеззараживанию подкарантинной продукции, ввозимой на территорию Российской Федерации и вывозимой с территории Российской Федерации;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2) по обеззараживанию зерна, находящегося на те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р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ритории Российской Федерации;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3) по обеззараживанию подкарантинной продукции, вывозимой из карантинной фитосанитарной зоны.</w:t>
            </w:r>
          </w:p>
          <w:p w:rsidR="00D92896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5. В случаях, не предусмотренных частью 4 насто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я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щей статьи, государственная аккредитация физич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ских и юридических лиц на право проведения работ по обеззараживанию подкарантинной продукции не требуется.</w:t>
            </w:r>
          </w:p>
          <w:p w:rsidR="00D92896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2896" w:rsidRPr="00442768" w:rsidRDefault="00D92896" w:rsidP="00442768">
            <w:pPr>
              <w:spacing w:after="0" w:line="240" w:lineRule="auto"/>
              <w:jc w:val="both"/>
            </w:pPr>
          </w:p>
        </w:tc>
        <w:tc>
          <w:tcPr>
            <w:tcW w:w="2036" w:type="dxa"/>
          </w:tcPr>
          <w:p w:rsidR="00D92896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 xml:space="preserve">Ярославская областная </w:t>
            </w:r>
          </w:p>
          <w:p w:rsidR="00D92896" w:rsidRPr="00442768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Дума</w:t>
            </w:r>
          </w:p>
        </w:tc>
        <w:tc>
          <w:tcPr>
            <w:tcW w:w="2340" w:type="dxa"/>
          </w:tcPr>
          <w:p w:rsidR="00D92896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 xml:space="preserve">Изложить </w:t>
            </w:r>
          </w:p>
          <w:p w:rsidR="00D92896" w:rsidRPr="00442768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в новой редакции</w:t>
            </w:r>
          </w:p>
        </w:tc>
        <w:tc>
          <w:tcPr>
            <w:tcW w:w="3780" w:type="dxa"/>
          </w:tcPr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2768">
              <w:rPr>
                <w:rFonts w:ascii="Times New Roman" w:hAnsi="Times New Roman"/>
                <w:b/>
                <w:sz w:val="28"/>
                <w:szCs w:val="28"/>
              </w:rPr>
              <w:t>Статья 18, части 4 и 5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4. Работы по обеззаражив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нию подкарантинных объе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к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тов, подкарантинной пр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о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дукции проводятся органом государственного надзора в области обеспечения кара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тина растений.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</w:pPr>
            <w:r w:rsidRPr="00442768">
              <w:rPr>
                <w:rFonts w:ascii="Times New Roman" w:hAnsi="Times New Roman"/>
                <w:sz w:val="28"/>
                <w:szCs w:val="28"/>
              </w:rPr>
              <w:t>5. Обеззараживание, очистка, дегазация подкарантинных объектов, подкарантинной продукции осуществляются в соответствии с правилами и нормами обеспечения кара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тина растений.</w:t>
            </w:r>
          </w:p>
        </w:tc>
      </w:tr>
      <w:tr w:rsidR="00D92896" w:rsidRPr="00442768" w:rsidTr="0090216D">
        <w:trPr>
          <w:trHeight w:val="323"/>
        </w:trPr>
        <w:tc>
          <w:tcPr>
            <w:tcW w:w="678" w:type="dxa"/>
          </w:tcPr>
          <w:p w:rsidR="00D92896" w:rsidRPr="00442768" w:rsidRDefault="00D92896" w:rsidP="00442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30" w:type="dxa"/>
          </w:tcPr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2768">
              <w:rPr>
                <w:rFonts w:ascii="Times New Roman" w:hAnsi="Times New Roman"/>
                <w:b/>
                <w:sz w:val="28"/>
                <w:szCs w:val="28"/>
              </w:rPr>
              <w:t>Статья 20, часть 2, абзац первый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2.Лабораторные исследования в области карантина растений представляют собой исследование проб (образцов) подкарантинной продукции в целях обн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ружения признаков заражения (засорения) объекта исследования карантинными вредными организмами и проводятся аккредитованными лабораториями (и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с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пытательными центрами).</w:t>
            </w:r>
          </w:p>
        </w:tc>
        <w:tc>
          <w:tcPr>
            <w:tcW w:w="2036" w:type="dxa"/>
          </w:tcPr>
          <w:p w:rsidR="00D92896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 xml:space="preserve">Ярославская областная </w:t>
            </w:r>
          </w:p>
          <w:p w:rsidR="00D92896" w:rsidRPr="00442768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Дума</w:t>
            </w:r>
          </w:p>
        </w:tc>
        <w:tc>
          <w:tcPr>
            <w:tcW w:w="2340" w:type="dxa"/>
          </w:tcPr>
          <w:p w:rsidR="00D92896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 xml:space="preserve">Изложить </w:t>
            </w:r>
          </w:p>
          <w:p w:rsidR="00D92896" w:rsidRPr="00442768" w:rsidRDefault="00D92896" w:rsidP="00902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в новой редакции</w:t>
            </w:r>
          </w:p>
        </w:tc>
        <w:tc>
          <w:tcPr>
            <w:tcW w:w="3780" w:type="dxa"/>
          </w:tcPr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2768">
              <w:rPr>
                <w:rFonts w:ascii="Times New Roman" w:hAnsi="Times New Roman"/>
                <w:b/>
                <w:sz w:val="28"/>
                <w:szCs w:val="28"/>
              </w:rPr>
              <w:t>Статья 20, часть 2, абзац первый</w:t>
            </w:r>
          </w:p>
          <w:p w:rsidR="00D92896" w:rsidRPr="00442768" w:rsidRDefault="00D92896" w:rsidP="0044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768">
              <w:rPr>
                <w:rFonts w:ascii="Times New Roman" w:hAnsi="Times New Roman"/>
                <w:sz w:val="28"/>
                <w:szCs w:val="28"/>
              </w:rPr>
              <w:t>2.Лабораторные анализы и экспертиза подкарантинной продукции (подкарантинного материала, подкарантинного груза) в целях установления ее карантинного фитосан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тарного состояния проводя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т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ся органами и организациями Государственной службы к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а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рантина растений Росси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й</w:t>
            </w:r>
            <w:r w:rsidRPr="00442768">
              <w:rPr>
                <w:rFonts w:ascii="Times New Roman" w:hAnsi="Times New Roman"/>
                <w:sz w:val="28"/>
                <w:szCs w:val="28"/>
              </w:rPr>
              <w:t>ской Федерации.</w:t>
            </w:r>
          </w:p>
        </w:tc>
      </w:tr>
    </w:tbl>
    <w:p w:rsidR="00D92896" w:rsidRDefault="00D92896"/>
    <w:sectPr w:rsidR="00D92896" w:rsidSect="0090216D">
      <w:headerReference w:type="even" r:id="rId6"/>
      <w:headerReference w:type="default" r:id="rId7"/>
      <w:pgSz w:w="16838" w:h="11906" w:orient="landscape" w:code="9"/>
      <w:pgMar w:top="1438" w:right="851" w:bottom="539" w:left="851" w:header="340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896" w:rsidRDefault="00D92896">
      <w:r>
        <w:separator/>
      </w:r>
    </w:p>
  </w:endnote>
  <w:endnote w:type="continuationSeparator" w:id="0">
    <w:p w:rsidR="00D92896" w:rsidRDefault="00D92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896" w:rsidRDefault="00D92896">
      <w:r>
        <w:separator/>
      </w:r>
    </w:p>
  </w:footnote>
  <w:footnote w:type="continuationSeparator" w:id="0">
    <w:p w:rsidR="00D92896" w:rsidRDefault="00D928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896" w:rsidRDefault="00D92896" w:rsidP="00A7304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2896" w:rsidRDefault="00D9289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896" w:rsidRDefault="00D92896" w:rsidP="00A7304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2896" w:rsidRDefault="00D9289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6CF"/>
    <w:rsid w:val="000156CF"/>
    <w:rsid w:val="00034574"/>
    <w:rsid w:val="00053595"/>
    <w:rsid w:val="0006468D"/>
    <w:rsid w:val="000748E2"/>
    <w:rsid w:val="000C7E28"/>
    <w:rsid w:val="000F25AF"/>
    <w:rsid w:val="0010118F"/>
    <w:rsid w:val="0012690F"/>
    <w:rsid w:val="00151A28"/>
    <w:rsid w:val="001D6C8A"/>
    <w:rsid w:val="00217D44"/>
    <w:rsid w:val="0025654A"/>
    <w:rsid w:val="002C00E2"/>
    <w:rsid w:val="002C45C4"/>
    <w:rsid w:val="002C711B"/>
    <w:rsid w:val="0030515C"/>
    <w:rsid w:val="00380AAD"/>
    <w:rsid w:val="003C398B"/>
    <w:rsid w:val="003E3771"/>
    <w:rsid w:val="00442768"/>
    <w:rsid w:val="004865EB"/>
    <w:rsid w:val="004929FE"/>
    <w:rsid w:val="004B4B9D"/>
    <w:rsid w:val="004C498F"/>
    <w:rsid w:val="004D55C3"/>
    <w:rsid w:val="00500C43"/>
    <w:rsid w:val="0054041C"/>
    <w:rsid w:val="005564C6"/>
    <w:rsid w:val="005744BA"/>
    <w:rsid w:val="005A2CFC"/>
    <w:rsid w:val="005B6780"/>
    <w:rsid w:val="005F6178"/>
    <w:rsid w:val="006E21C6"/>
    <w:rsid w:val="00730365"/>
    <w:rsid w:val="007968E6"/>
    <w:rsid w:val="007C5B52"/>
    <w:rsid w:val="00802A3E"/>
    <w:rsid w:val="0081243F"/>
    <w:rsid w:val="00827441"/>
    <w:rsid w:val="008643DC"/>
    <w:rsid w:val="00870279"/>
    <w:rsid w:val="00882733"/>
    <w:rsid w:val="0089497F"/>
    <w:rsid w:val="0090216D"/>
    <w:rsid w:val="009225D7"/>
    <w:rsid w:val="00952E7C"/>
    <w:rsid w:val="00997857"/>
    <w:rsid w:val="009C0479"/>
    <w:rsid w:val="009E28B8"/>
    <w:rsid w:val="009E4580"/>
    <w:rsid w:val="009F7126"/>
    <w:rsid w:val="00A2768D"/>
    <w:rsid w:val="00A7304C"/>
    <w:rsid w:val="00B16D66"/>
    <w:rsid w:val="00C20AD7"/>
    <w:rsid w:val="00C35370"/>
    <w:rsid w:val="00C92E4D"/>
    <w:rsid w:val="00CE54FA"/>
    <w:rsid w:val="00D07086"/>
    <w:rsid w:val="00D24A00"/>
    <w:rsid w:val="00D3279E"/>
    <w:rsid w:val="00D92896"/>
    <w:rsid w:val="00E07B5C"/>
    <w:rsid w:val="00E22DF7"/>
    <w:rsid w:val="00EC7698"/>
    <w:rsid w:val="00F05A76"/>
    <w:rsid w:val="00F06A58"/>
    <w:rsid w:val="00F260B7"/>
    <w:rsid w:val="00F41ED3"/>
    <w:rsid w:val="00F53482"/>
    <w:rsid w:val="00FA0D28"/>
    <w:rsid w:val="00FC7E82"/>
    <w:rsid w:val="00FD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6C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156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C4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49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E37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52E7C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3E377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173</TotalTime>
  <Pages>6</Pages>
  <Words>1217</Words>
  <Characters>6939</Characters>
  <Application>Microsoft Office Outlook</Application>
  <DocSecurity>0</DocSecurity>
  <Lines>0</Lines>
  <Paragraphs>0</Paragraphs>
  <ScaleCrop>false</ScaleCrop>
  <Company>ГД 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pronina</dc:creator>
  <cp:keywords/>
  <dc:description/>
  <cp:lastModifiedBy>chernova</cp:lastModifiedBy>
  <cp:revision>15</cp:revision>
  <cp:lastPrinted>2012-05-30T12:35:00Z</cp:lastPrinted>
  <dcterms:created xsi:type="dcterms:W3CDTF">2012-05-23T08:07:00Z</dcterms:created>
  <dcterms:modified xsi:type="dcterms:W3CDTF">2012-06-01T05:50:00Z</dcterms:modified>
</cp:coreProperties>
</file>