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2F" w:rsidRPr="0023409D" w:rsidRDefault="0023409D" w:rsidP="0023409D">
      <w:pPr>
        <w:autoSpaceDE w:val="0"/>
        <w:autoSpaceDN w:val="0"/>
        <w:adjustRightInd w:val="0"/>
        <w:contextualSpacing/>
        <w:jc w:val="right"/>
        <w:rPr>
          <w:rFonts w:ascii="Times New Roman" w:hAnsi="Times New Roman"/>
          <w:bCs/>
          <w:sz w:val="28"/>
          <w:szCs w:val="28"/>
        </w:rPr>
      </w:pPr>
      <w:bookmarkStart w:id="0" w:name="_GoBack"/>
      <w:bookmarkEnd w:id="0"/>
      <w:r>
        <w:rPr>
          <w:rFonts w:ascii="Times New Roman" w:hAnsi="Times New Roman"/>
          <w:bCs/>
          <w:sz w:val="28"/>
          <w:szCs w:val="28"/>
        </w:rPr>
        <w:t>ПРОЕКТ</w:t>
      </w:r>
    </w:p>
    <w:p w:rsidR="0023409D" w:rsidRDefault="0023409D" w:rsidP="00D41C70">
      <w:pPr>
        <w:autoSpaceDE w:val="0"/>
        <w:autoSpaceDN w:val="0"/>
        <w:adjustRightInd w:val="0"/>
        <w:contextualSpacing/>
        <w:jc w:val="center"/>
        <w:rPr>
          <w:rFonts w:ascii="Times New Roman" w:hAnsi="Times New Roman"/>
          <w:b/>
          <w:bCs/>
          <w:sz w:val="28"/>
          <w:szCs w:val="28"/>
        </w:rPr>
      </w:pPr>
    </w:p>
    <w:p w:rsidR="00540E2F" w:rsidRPr="0023409D" w:rsidRDefault="00D41C70" w:rsidP="00D41C70">
      <w:pPr>
        <w:autoSpaceDE w:val="0"/>
        <w:autoSpaceDN w:val="0"/>
        <w:adjustRightInd w:val="0"/>
        <w:contextualSpacing/>
        <w:jc w:val="center"/>
        <w:rPr>
          <w:rFonts w:ascii="Times New Roman" w:hAnsi="Times New Roman"/>
          <w:b/>
          <w:bCs/>
          <w:sz w:val="28"/>
          <w:szCs w:val="28"/>
        </w:rPr>
      </w:pPr>
      <w:r w:rsidRPr="0023409D">
        <w:rPr>
          <w:rFonts w:ascii="Times New Roman" w:hAnsi="Times New Roman"/>
          <w:b/>
          <w:bCs/>
          <w:sz w:val="28"/>
          <w:szCs w:val="28"/>
        </w:rPr>
        <w:t>ПОРЯДОК</w:t>
      </w:r>
    </w:p>
    <w:p w:rsidR="00540E2F" w:rsidRPr="0023409D" w:rsidRDefault="00D41C70" w:rsidP="00D41C70">
      <w:pPr>
        <w:autoSpaceDE w:val="0"/>
        <w:autoSpaceDN w:val="0"/>
        <w:adjustRightInd w:val="0"/>
        <w:contextualSpacing/>
        <w:jc w:val="center"/>
        <w:rPr>
          <w:rFonts w:ascii="Times New Roman" w:hAnsi="Times New Roman"/>
          <w:b/>
          <w:bCs/>
          <w:sz w:val="28"/>
          <w:szCs w:val="28"/>
        </w:rPr>
      </w:pPr>
      <w:r w:rsidRPr="0023409D">
        <w:rPr>
          <w:rFonts w:ascii="Times New Roman" w:hAnsi="Times New Roman"/>
          <w:b/>
          <w:bCs/>
          <w:sz w:val="28"/>
          <w:szCs w:val="28"/>
        </w:rPr>
        <w:t>ПРЕДОСТАВЛЕНИЯ И РАСПРЕДЕЛЕНИЯ СУБСИДИИ НА СТРОИТЕЛЬСТВО, РЕКОНСТРУКЦИЮ И КАПИТАЛЬНЫЙ РЕМОНТ АВТОМОБИЛЬНЫХ ДОРОГ ЗА СЧЕТ СРЕДСТВ ИНФРАСТРУКТУРНОГО БЮДЖЕТНОГО КРЕДИТА</w:t>
      </w:r>
    </w:p>
    <w:p w:rsidR="00540E2F" w:rsidRPr="0023409D" w:rsidRDefault="00540E2F" w:rsidP="00D41C70">
      <w:pPr>
        <w:autoSpaceDE w:val="0"/>
        <w:autoSpaceDN w:val="0"/>
        <w:adjustRightInd w:val="0"/>
        <w:ind w:firstLine="540"/>
        <w:contextualSpacing/>
        <w:jc w:val="both"/>
        <w:rPr>
          <w:rFonts w:ascii="Times New Roman" w:hAnsi="Times New Roman"/>
          <w:bCs/>
          <w:sz w:val="28"/>
          <w:szCs w:val="28"/>
        </w:rPr>
      </w:pPr>
    </w:p>
    <w:p w:rsidR="00540E2F" w:rsidRPr="0023409D" w:rsidRDefault="00540E2F" w:rsidP="00D41C70">
      <w:pPr>
        <w:autoSpaceDE w:val="0"/>
        <w:autoSpaceDN w:val="0"/>
        <w:adjustRightInd w:val="0"/>
        <w:ind w:firstLine="540"/>
        <w:contextualSpacing/>
        <w:jc w:val="both"/>
        <w:rPr>
          <w:rFonts w:ascii="Times New Roman" w:hAnsi="Times New Roman"/>
          <w:bCs/>
          <w:sz w:val="28"/>
          <w:szCs w:val="28"/>
        </w:rPr>
      </w:pPr>
      <w:r w:rsidRPr="0023409D">
        <w:rPr>
          <w:rFonts w:ascii="Times New Roman" w:hAnsi="Times New Roman"/>
          <w:bCs/>
          <w:sz w:val="28"/>
          <w:szCs w:val="28"/>
        </w:rPr>
        <w:t xml:space="preserve">1. Настоящий Порядок разработан в соответствии с Бюджетным </w:t>
      </w:r>
      <w:hyperlink r:id="rId8" w:history="1">
        <w:r w:rsidRPr="0023409D">
          <w:rPr>
            <w:rFonts w:ascii="Times New Roman" w:hAnsi="Times New Roman"/>
            <w:bCs/>
            <w:sz w:val="28"/>
            <w:szCs w:val="28"/>
          </w:rPr>
          <w:t>кодексом</w:t>
        </w:r>
      </w:hyperlink>
      <w:r w:rsidRPr="0023409D">
        <w:rPr>
          <w:rFonts w:ascii="Times New Roman" w:hAnsi="Times New Roman"/>
          <w:bCs/>
          <w:sz w:val="28"/>
          <w:szCs w:val="28"/>
        </w:rPr>
        <w:t xml:space="preserve"> Российской Федерации, </w:t>
      </w:r>
      <w:hyperlink r:id="rId9" w:history="1">
        <w:r w:rsidRPr="0023409D">
          <w:rPr>
            <w:rFonts w:ascii="Times New Roman" w:hAnsi="Times New Roman"/>
            <w:bCs/>
            <w:sz w:val="28"/>
            <w:szCs w:val="28"/>
          </w:rPr>
          <w:t>Правилами</w:t>
        </w:r>
      </w:hyperlink>
      <w:r w:rsidRPr="0023409D">
        <w:rPr>
          <w:rFonts w:ascii="Times New Roman" w:hAnsi="Times New Roman"/>
          <w:bCs/>
          <w:sz w:val="28"/>
          <w:szCs w:val="28"/>
        </w:rPr>
        <w:t xml:space="preserve">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утвержденными постановлением Правительства Российской Федерации от 14 июля 2021 г. </w:t>
      </w:r>
      <w:r w:rsidR="00D41C70" w:rsidRPr="0023409D">
        <w:rPr>
          <w:rFonts w:ascii="Times New Roman" w:hAnsi="Times New Roman"/>
          <w:bCs/>
          <w:sz w:val="28"/>
          <w:szCs w:val="28"/>
        </w:rPr>
        <w:t>№</w:t>
      </w:r>
      <w:r w:rsidRPr="0023409D">
        <w:rPr>
          <w:rFonts w:ascii="Times New Roman" w:hAnsi="Times New Roman"/>
          <w:bCs/>
          <w:sz w:val="28"/>
          <w:szCs w:val="28"/>
        </w:rPr>
        <w:t xml:space="preserve"> 1190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w:t>
      </w:r>
      <w:hyperlink r:id="rId10" w:history="1">
        <w:r w:rsidRPr="0023409D">
          <w:rPr>
            <w:rFonts w:ascii="Times New Roman" w:hAnsi="Times New Roman"/>
            <w:bCs/>
            <w:sz w:val="28"/>
            <w:szCs w:val="28"/>
          </w:rPr>
          <w:t>Правилами</w:t>
        </w:r>
      </w:hyperlink>
      <w:r w:rsidRPr="0023409D">
        <w:rPr>
          <w:rFonts w:ascii="Times New Roman" w:hAnsi="Times New Roman"/>
          <w:bCs/>
          <w:sz w:val="28"/>
          <w:szCs w:val="28"/>
        </w:rPr>
        <w:t xml:space="preserve">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w:t>
      </w:r>
      <w:r w:rsidR="00D41C70" w:rsidRPr="0023409D">
        <w:rPr>
          <w:rFonts w:ascii="Times New Roman" w:hAnsi="Times New Roman"/>
          <w:bCs/>
          <w:sz w:val="28"/>
          <w:szCs w:val="28"/>
        </w:rPr>
        <w:t>№</w:t>
      </w:r>
      <w:r w:rsidRPr="0023409D">
        <w:rPr>
          <w:rFonts w:ascii="Times New Roman" w:hAnsi="Times New Roman"/>
          <w:bCs/>
          <w:sz w:val="28"/>
          <w:szCs w:val="28"/>
        </w:rPr>
        <w:t xml:space="preserve">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w:t>
      </w:r>
      <w:hyperlink r:id="rId11" w:history="1">
        <w:r w:rsidRPr="0023409D">
          <w:rPr>
            <w:rFonts w:ascii="Times New Roman" w:hAnsi="Times New Roman"/>
            <w:bCs/>
            <w:sz w:val="28"/>
            <w:szCs w:val="28"/>
          </w:rPr>
          <w:t>Правилами</w:t>
        </w:r>
      </w:hyperlink>
      <w:r w:rsidRPr="0023409D">
        <w:rPr>
          <w:rFonts w:ascii="Times New Roman" w:hAnsi="Times New Roman"/>
          <w:bCs/>
          <w:sz w:val="28"/>
          <w:szCs w:val="28"/>
        </w:rPr>
        <w:t xml:space="preserve"> формирования, предоставления и распределения субсидий из областного бюджета местным бюджетам Ярославской области, утвержденными постановлением Правительства области от 17.07.2020 </w:t>
      </w:r>
      <w:r w:rsidR="00D41C70" w:rsidRPr="0023409D">
        <w:rPr>
          <w:rFonts w:ascii="Times New Roman" w:hAnsi="Times New Roman"/>
          <w:bCs/>
          <w:sz w:val="28"/>
          <w:szCs w:val="28"/>
        </w:rPr>
        <w:t>№</w:t>
      </w:r>
      <w:r w:rsidRPr="0023409D">
        <w:rPr>
          <w:rFonts w:ascii="Times New Roman" w:hAnsi="Times New Roman"/>
          <w:bCs/>
          <w:sz w:val="28"/>
          <w:szCs w:val="28"/>
        </w:rPr>
        <w:t xml:space="preserve">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sidR="00D41C70" w:rsidRPr="0023409D">
        <w:rPr>
          <w:rFonts w:ascii="Times New Roman" w:hAnsi="Times New Roman"/>
          <w:bCs/>
          <w:sz w:val="28"/>
          <w:szCs w:val="28"/>
        </w:rPr>
        <w:t>№</w:t>
      </w:r>
      <w:r w:rsidRPr="0023409D">
        <w:rPr>
          <w:rFonts w:ascii="Times New Roman" w:hAnsi="Times New Roman"/>
          <w:bCs/>
          <w:sz w:val="28"/>
          <w:szCs w:val="28"/>
        </w:rPr>
        <w:t xml:space="preserve"> 573-п" (далее - Правила), и определяет общие положения о предоставлении субсидии на строительство, реконструкцию и капитальный ремонт автомобильных дорог за счет средств инфраструктурного бюджетного кредита (далее - субсидия), условия и порядок предоставления субсидии, требования к отчетности, а также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bookmarkStart w:id="1" w:name="Par12"/>
      <w:bookmarkEnd w:id="1"/>
      <w:r w:rsidRPr="0023409D">
        <w:rPr>
          <w:rFonts w:ascii="Times New Roman" w:hAnsi="Times New Roman"/>
          <w:bCs/>
          <w:sz w:val="28"/>
          <w:szCs w:val="28"/>
        </w:rPr>
        <w:t xml:space="preserve">2. Субсидия предоставляется местному бюджету муниципального образования области, на территории которого реализуются </w:t>
      </w:r>
      <w:r w:rsidRPr="0023409D">
        <w:rPr>
          <w:rFonts w:ascii="Times New Roman" w:hAnsi="Times New Roman"/>
          <w:bCs/>
          <w:sz w:val="28"/>
          <w:szCs w:val="28"/>
        </w:rPr>
        <w:lastRenderedPageBreak/>
        <w:t xml:space="preserve">инфраструктурные проекты, в рамках региональной целевой программы "Создание комфортной городской среды на территории Ярославской области" на 2020 - 2024 годы государственной </w:t>
      </w:r>
      <w:hyperlink r:id="rId12" w:history="1">
        <w:r w:rsidRPr="0023409D">
          <w:rPr>
            <w:rFonts w:ascii="Times New Roman" w:hAnsi="Times New Roman"/>
            <w:bCs/>
            <w:sz w:val="28"/>
            <w:szCs w:val="28"/>
          </w:rPr>
          <w:t>программы</w:t>
        </w:r>
      </w:hyperlink>
      <w:r w:rsidRPr="0023409D">
        <w:rPr>
          <w:rFonts w:ascii="Times New Roman" w:hAnsi="Times New Roman"/>
          <w:bCs/>
          <w:sz w:val="28"/>
          <w:szCs w:val="28"/>
        </w:rPr>
        <w:t xml:space="preserve"> Ярославской области "Формирование современной городской среды муниципальных образований на территории Ярославской области" на 2020 - 2024 годы, утвержденной постановлением Правительства области от 30.03.2021 </w:t>
      </w:r>
      <w:r w:rsidR="00D41C70" w:rsidRPr="0023409D">
        <w:rPr>
          <w:rFonts w:ascii="Times New Roman" w:hAnsi="Times New Roman"/>
          <w:bCs/>
          <w:sz w:val="28"/>
          <w:szCs w:val="28"/>
        </w:rPr>
        <w:t>№</w:t>
      </w:r>
      <w:r w:rsidRPr="0023409D">
        <w:rPr>
          <w:rFonts w:ascii="Times New Roman" w:hAnsi="Times New Roman"/>
          <w:bCs/>
          <w:sz w:val="28"/>
          <w:szCs w:val="28"/>
        </w:rPr>
        <w:t xml:space="preserve"> 170-п "Об утверждении государственной программы Ярославской области "Формирование современной городской среды муниципальных образований на территории Ярославской области" на 2021 - 2024 годы и о признании утратившими силу и частично утратившими силу отдельных постановлений Правительства области" (далее - Государственная программа), в целях софинансирования Ярославской областью расходных обязательств муниципального образования области, возникающих при выполнении органами местного самоуправления муниципального образования области (далее - ОМСУ) полномочий по вопросам местного значения в части дорожной деятельности в отношении автомобильных дорог местного значения и обеспечения безопасности дорожного движения на них, связанных с реализацией мероприятий по строительству, реконструкции и капитальному ремонту автомобильных дорог в рамках инфраструктурного проекта.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Субсидия может расходоваться на: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разработку проектной документации;</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строительство, реконструкцию и капитальный ремонт автомобильных дорог.</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3. Субсидия предоставляется из областного бюджета в соответствии с законом Ярославской области об областном бюджете на текущий финансовый год и на плановый период в пределах лимитов бюджетных обязательств, предусмотренных на реализацию инфраструктурных проектов.</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xml:space="preserve">Главным распорядителем бюджетных средств на цели, указанные в </w:t>
      </w:r>
      <w:hyperlink w:anchor="Par12" w:history="1">
        <w:r w:rsidRPr="0023409D">
          <w:rPr>
            <w:rFonts w:ascii="Times New Roman" w:hAnsi="Times New Roman"/>
            <w:bCs/>
            <w:sz w:val="28"/>
            <w:szCs w:val="28"/>
          </w:rPr>
          <w:t>пункте 2</w:t>
        </w:r>
      </w:hyperlink>
      <w:r w:rsidRPr="0023409D">
        <w:rPr>
          <w:rFonts w:ascii="Times New Roman" w:hAnsi="Times New Roman"/>
          <w:bCs/>
          <w:sz w:val="28"/>
          <w:szCs w:val="28"/>
        </w:rPr>
        <w:t xml:space="preserve"> настоящего Порядка, является департамент дорожного хозяйства Ярославской области (далее - ДДХ ЯО).</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4. Источником финансового обеспечения субсидии являются инфраструктурные бюджетные кредиты, предоставляемые из федерального бюджета на финансовое обеспечение реализации инфраструктурных проектов.</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xml:space="preserve">5. Отбор муниципального образования области для предоставления субсидии осуществляется без проведения конкурса. Субсидия предоставляется муниципальному образованию области, на территории которого реализуется инфраструктурный проект, отобранный в соответствии с </w:t>
      </w:r>
      <w:hyperlink r:id="rId13" w:history="1">
        <w:r w:rsidRPr="0023409D">
          <w:rPr>
            <w:rFonts w:ascii="Times New Roman" w:hAnsi="Times New Roman"/>
            <w:bCs/>
            <w:sz w:val="28"/>
            <w:szCs w:val="28"/>
          </w:rPr>
          <w:t>Правилами</w:t>
        </w:r>
      </w:hyperlink>
      <w:r w:rsidRPr="0023409D">
        <w:rPr>
          <w:rFonts w:ascii="Times New Roman" w:hAnsi="Times New Roman"/>
          <w:bCs/>
          <w:sz w:val="28"/>
          <w:szCs w:val="28"/>
        </w:rPr>
        <w:t xml:space="preserve">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w:t>
      </w:r>
      <w:r w:rsidR="00D41C70" w:rsidRPr="0023409D">
        <w:rPr>
          <w:rFonts w:ascii="Times New Roman" w:hAnsi="Times New Roman"/>
          <w:bCs/>
          <w:sz w:val="28"/>
          <w:szCs w:val="28"/>
        </w:rPr>
        <w:t>№</w:t>
      </w:r>
      <w:r w:rsidRPr="0023409D">
        <w:rPr>
          <w:rFonts w:ascii="Times New Roman" w:hAnsi="Times New Roman"/>
          <w:bCs/>
          <w:sz w:val="28"/>
          <w:szCs w:val="28"/>
        </w:rPr>
        <w:t xml:space="preserve"> 1189 "Об утверждении Правил отбора инфраструктурных </w:t>
      </w:r>
      <w:r w:rsidRPr="0023409D">
        <w:rPr>
          <w:rFonts w:ascii="Times New Roman" w:hAnsi="Times New Roman"/>
          <w:bCs/>
          <w:sz w:val="28"/>
          <w:szCs w:val="28"/>
        </w:rPr>
        <w:lastRenderedPageBreak/>
        <w:t>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6. Размер субсидии (C) определяется по формуле:</w:t>
      </w:r>
    </w:p>
    <w:p w:rsidR="00540E2F" w:rsidRPr="0023409D" w:rsidRDefault="00540E2F" w:rsidP="00D41C70">
      <w:pPr>
        <w:autoSpaceDE w:val="0"/>
        <w:autoSpaceDN w:val="0"/>
        <w:adjustRightInd w:val="0"/>
        <w:contextualSpacing/>
        <w:jc w:val="both"/>
        <w:rPr>
          <w:rFonts w:ascii="Times New Roman" w:hAnsi="Times New Roman"/>
          <w:bCs/>
          <w:sz w:val="28"/>
          <w:szCs w:val="28"/>
        </w:rPr>
      </w:pPr>
    </w:p>
    <w:p w:rsidR="00540E2F" w:rsidRPr="0023409D" w:rsidRDefault="00540E2F" w:rsidP="00D41C70">
      <w:pPr>
        <w:autoSpaceDE w:val="0"/>
        <w:autoSpaceDN w:val="0"/>
        <w:adjustRightInd w:val="0"/>
        <w:contextualSpacing/>
        <w:jc w:val="both"/>
        <w:rPr>
          <w:rFonts w:ascii="Times New Roman" w:hAnsi="Times New Roman"/>
          <w:bCs/>
          <w:sz w:val="28"/>
          <w:szCs w:val="28"/>
        </w:rPr>
      </w:pPr>
      <w:r w:rsidRPr="0023409D">
        <w:rPr>
          <w:rFonts w:ascii="Times New Roman" w:hAnsi="Times New Roman"/>
          <w:bCs/>
          <w:sz w:val="28"/>
          <w:szCs w:val="28"/>
        </w:rPr>
        <w:t>C = V x Y,</w:t>
      </w:r>
    </w:p>
    <w:p w:rsidR="00540E2F" w:rsidRPr="0023409D" w:rsidRDefault="00540E2F" w:rsidP="00D41C70">
      <w:pPr>
        <w:autoSpaceDE w:val="0"/>
        <w:autoSpaceDN w:val="0"/>
        <w:adjustRightInd w:val="0"/>
        <w:contextualSpacing/>
        <w:jc w:val="both"/>
        <w:rPr>
          <w:rFonts w:ascii="Times New Roman" w:hAnsi="Times New Roman"/>
          <w:bCs/>
          <w:sz w:val="28"/>
          <w:szCs w:val="28"/>
        </w:rPr>
      </w:pPr>
    </w:p>
    <w:p w:rsidR="00540E2F" w:rsidRPr="0023409D" w:rsidRDefault="00540E2F" w:rsidP="00D41C70">
      <w:pPr>
        <w:autoSpaceDE w:val="0"/>
        <w:autoSpaceDN w:val="0"/>
        <w:adjustRightInd w:val="0"/>
        <w:contextualSpacing/>
        <w:jc w:val="both"/>
        <w:rPr>
          <w:rFonts w:ascii="Times New Roman" w:hAnsi="Times New Roman"/>
          <w:bCs/>
          <w:sz w:val="28"/>
          <w:szCs w:val="28"/>
        </w:rPr>
      </w:pPr>
      <w:r w:rsidRPr="0023409D">
        <w:rPr>
          <w:rFonts w:ascii="Times New Roman" w:hAnsi="Times New Roman"/>
          <w:bCs/>
          <w:sz w:val="28"/>
          <w:szCs w:val="28"/>
        </w:rPr>
        <w:t>где:</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V - объем затрат на реализацию мероприятий в рамках инфраструктурного проекта;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Y - предельный уровень софинансирования Ярославской областью расходного обязательства муниципального образования области в размере 99,9 процента.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7. Распределение субсидии местному бюджету из областного бюджета утверждается законом Ярославской области об областном бюджете.</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8. Условия предоставления и расходования субсидии:</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наличие муниципальной программы, на софинансирование мероприятий которой предоставляется субсидия, направленной на достижение целей Государственной программы;</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наличие в бюджете муниципального образования области (сводной бюджетной росписи местного бюджета) бюджетных ассигнований на исполнение расходных обязательств муниципального образования области, в целях софинансирования которых предоставляется субсидия, в объеме, необходимом для исполнения указанных расходных обязательств, включая размер планируемой к предоставлению из областного бюджета субсидии;</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наличие соглашения о предоставлении субсидии (далее - соглашение), предусматривающего обязательства муниципального образования области по исполнению расходных обязательств, в целях софинансирования которых предоставляется субсидия, а также ответственность за невыполнение предусмотренных соглашением обязательств;</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возврат муниципальным образованием области в доход областного бюджета средств, источником финансового обеспечения которых является субсидия, при невыполнении муниципальным образованием области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xml:space="preserve">Соглашение заключается между органом исполнительной власти Ярославской области - главным распорядителем средств областного бюджета и ОМСУ по типовой форме </w:t>
      </w:r>
      <w:hyperlink r:id="rId14" w:history="1">
        <w:r w:rsidRPr="0023409D">
          <w:rPr>
            <w:rFonts w:ascii="Times New Roman" w:hAnsi="Times New Roman"/>
            <w:bCs/>
            <w:sz w:val="28"/>
            <w:szCs w:val="28"/>
          </w:rPr>
          <w:t>соглашения</w:t>
        </w:r>
      </w:hyperlink>
      <w:r w:rsidRPr="0023409D">
        <w:rPr>
          <w:rFonts w:ascii="Times New Roman" w:hAnsi="Times New Roman"/>
          <w:bCs/>
          <w:sz w:val="28"/>
          <w:szCs w:val="28"/>
        </w:rPr>
        <w:t xml:space="preserve"> о предоставлении субсидии из областного бюджета бюджету муниципального образования области, утвержденной приказом департамента финансов Ярославской области от 17.03.2020 </w:t>
      </w:r>
      <w:r w:rsidR="00D41C70" w:rsidRPr="0023409D">
        <w:rPr>
          <w:rFonts w:ascii="Times New Roman" w:hAnsi="Times New Roman"/>
          <w:bCs/>
          <w:sz w:val="28"/>
          <w:szCs w:val="28"/>
        </w:rPr>
        <w:t>№</w:t>
      </w:r>
      <w:r w:rsidRPr="0023409D">
        <w:rPr>
          <w:rFonts w:ascii="Times New Roman" w:hAnsi="Times New Roman"/>
          <w:bCs/>
          <w:sz w:val="28"/>
          <w:szCs w:val="28"/>
        </w:rPr>
        <w:t xml:space="preserve"> 15н "Об утверждении типовой формы соглашения о </w:t>
      </w:r>
      <w:r w:rsidRPr="0023409D">
        <w:rPr>
          <w:rFonts w:ascii="Times New Roman" w:hAnsi="Times New Roman"/>
          <w:bCs/>
          <w:sz w:val="28"/>
          <w:szCs w:val="28"/>
        </w:rPr>
        <w:lastRenderedPageBreak/>
        <w:t xml:space="preserve">предоставлении субсидии из областного бюджета бюджету муниципального образования области", в соответствии с требованиями, предусмотренными </w:t>
      </w:r>
      <w:hyperlink r:id="rId15" w:history="1">
        <w:r w:rsidRPr="0023409D">
          <w:rPr>
            <w:rFonts w:ascii="Times New Roman" w:hAnsi="Times New Roman"/>
            <w:bCs/>
            <w:sz w:val="28"/>
            <w:szCs w:val="28"/>
          </w:rPr>
          <w:t>разделом 3</w:t>
        </w:r>
      </w:hyperlink>
      <w:r w:rsidRPr="0023409D">
        <w:rPr>
          <w:rFonts w:ascii="Times New Roman" w:hAnsi="Times New Roman"/>
          <w:bCs/>
          <w:sz w:val="28"/>
          <w:szCs w:val="28"/>
        </w:rPr>
        <w:t xml:space="preserve"> Правил.</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9. Предоставление субсидии осуществляется главным распорядителем средств областного бюджета на основании соглашения. Соглашение должно содержать положения, регулирующие порядок предоставления субсидии, а также:</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условие об осуществлении Федеральным казначейством в соответствии с бюджетным законодательством Российской Федерации казначейского сопровождения субсидии;</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xml:space="preserve">- включение условия об осуществлении Федеральным казначейством в соответствии с бюджетным законодательством Российской Федерации казначейского сопровождения средств в заключаемые муниципальными образованиями соглашения о предоставлении субсидий юридическим лицам, в том числе бюджетным и автономным учреждениям, договоры о предоставлении бюджетных инвестиций юридическим лицам в соответствии со </w:t>
      </w:r>
      <w:hyperlink r:id="rId16" w:history="1">
        <w:r w:rsidRPr="0023409D">
          <w:rPr>
            <w:rFonts w:ascii="Times New Roman" w:hAnsi="Times New Roman"/>
            <w:bCs/>
            <w:sz w:val="28"/>
            <w:szCs w:val="28"/>
          </w:rPr>
          <w:t>статьей 80</w:t>
        </w:r>
      </w:hyperlink>
      <w:r w:rsidRPr="0023409D">
        <w:rPr>
          <w:rFonts w:ascii="Times New Roman" w:hAnsi="Times New Roman"/>
          <w:bCs/>
          <w:sz w:val="28"/>
          <w:szCs w:val="28"/>
        </w:rPr>
        <w:t xml:space="preserve"> Бюджетного кодекса Российской Федерации, соглашения о муниципально-частном партнерстве, концессионные соглашения, муниципальные контракты (контракты, договоры) на поставку товаров, выполнение работ, оказание услуг, а также в контракты (договоры) на поставку товаров, выполнение работ, оказание услуг, заключаемые исполнителями и соисполнителями в рамках исполнения указанных соглашений (договоров) о предоставлении субсидий (бюджетных инвестиций), соглашений о муниципально-частном партнерстве, концессионных соглашений, муниципальных контрактов (контрактов, договоров) на поставку товаров, выполнение работ, оказание услуг, в случае предоставления из бюджета субъекта Российской Федерации местным бюджетам межбюджетных трансфертов, имеющих целевое назначение, источником предоставления которых являются средства бюджетного кредита;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указание аналитических кодов, формируемых Федеральным казначейством в порядке, установленном Министерством финансов Российской Федерации (данное положение предусматривается муниципальным контрактом);</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xml:space="preserve">- положение о проведении строительного контроля в отношении объектов капитального строительства, создаваемых и реконструируемых за счет средств инфраструктурного бюджетного кредита, федеральным бюджетным учреждением "Федеральный центр строительного контроля", находящимся в ведении Министерства строительства и жилищно-коммунального хозяйства Российской Федерации, возмещение затрат которого на осуществление такого строительного контроля осуществляется в соответствии с </w:t>
      </w:r>
      <w:hyperlink r:id="rId17" w:history="1">
        <w:r w:rsidRPr="0023409D">
          <w:rPr>
            <w:rFonts w:ascii="Times New Roman" w:hAnsi="Times New Roman"/>
            <w:bCs/>
            <w:sz w:val="28"/>
            <w:szCs w:val="28"/>
          </w:rPr>
          <w:t>постановлением</w:t>
        </w:r>
      </w:hyperlink>
      <w:r w:rsidRPr="0023409D">
        <w:rPr>
          <w:rFonts w:ascii="Times New Roman" w:hAnsi="Times New Roman"/>
          <w:bCs/>
          <w:sz w:val="28"/>
          <w:szCs w:val="28"/>
        </w:rPr>
        <w:t xml:space="preserve"> Правительства Российской Федерации от 21 июня 2010 г. </w:t>
      </w:r>
      <w:r w:rsidR="00D41C70" w:rsidRPr="0023409D">
        <w:rPr>
          <w:rFonts w:ascii="Times New Roman" w:hAnsi="Times New Roman"/>
          <w:bCs/>
          <w:sz w:val="28"/>
          <w:szCs w:val="28"/>
        </w:rPr>
        <w:t>№</w:t>
      </w:r>
      <w:r w:rsidRPr="0023409D">
        <w:rPr>
          <w:rFonts w:ascii="Times New Roman" w:hAnsi="Times New Roman"/>
          <w:bCs/>
          <w:sz w:val="28"/>
          <w:szCs w:val="28"/>
        </w:rPr>
        <w:t xml:space="preserve"> 468 "О порядке проведения строительного контроля при осуществлении строительства, реконструкции и капитального ремонта </w:t>
      </w:r>
      <w:r w:rsidRPr="0023409D">
        <w:rPr>
          <w:rFonts w:ascii="Times New Roman" w:hAnsi="Times New Roman"/>
          <w:bCs/>
          <w:sz w:val="28"/>
          <w:szCs w:val="28"/>
        </w:rPr>
        <w:lastRenderedPageBreak/>
        <w:t>объектов капитального строительства" за счет средств инфраструктурного бюджетного кредита.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10. Для заключения соглашения ОМСУ представляет главному распорядителю средств областного бюджета следующие документы:</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копия утвержденной муниципальной программы, на софинансирование мероприятий которой предоставляется субсидия;</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выписка из решения о местном бюджете (сводной бюджетной росписи) муниципального образования области, подтверждающая наличие ассигнований за счет местного бюджета на исполнение расходных обязательств ОМСУ в рамках муниципальной программы, на софинансирование мероприятий которой предоставляется субсидия;</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расшифровка по перечню строек и объектов, включенных в адресную инвестиционную программу Ярославской области (в составе выписки из решения о бюджете (сводной бюджетной росписи) муниципального образования области, подтверждающей наличие ассигнований за счет средств местного бюджета на исполнение расходных обязательств ОМСУ).</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11. В случае отсутствия на 01 сентября текущего финансового года заключенных муниципальных контрактов (договоров) с исполнителями работ, на весь период строительства (реконструкции) муниципальной собственности, приобретения оборудования, иных договоров, неразрывно связанных с объектом, включающих график производства работ (услуг), капитального ремонта объектов дорожного хозяйства муниципальной собственности, соглашение с муниципальным образованием расторгается.</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12. В случае если по состоянию на 01 января года, следующего за годом предоставления субсидии, муниципальному образованию области в рамках заключенного соглашения субсидия не перечислена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неперечисленный объем субсидии подлежит предоставлению в рамках лимитов бюджетных обязательств текущего финансового года при включении мероприятия муниципальной программы, на софинансирование которого направляется субсидия, в Государственную программу.</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13. Предоставление субсидии осуществляется в следующем порядке:</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перечисление субсидии в бюджет муниципального образования области осуществляется с учетом кассового плана областного бюджета, утвержденного на соответствующий квартал;</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перечисление субсидии в бюджет муниципального образования области осуществляется на казначейский счет для осуществления и отражения операций по учету и распределению поступлений для последующего перечисления в местный бюджет;</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xml:space="preserve">- перечисление субсидии бюджету муниципального образования области осуществляется после проведения Управлением Федерального казначейства по Ярославской области санкционирования операций по оплате денежных </w:t>
      </w:r>
      <w:r w:rsidRPr="0023409D">
        <w:rPr>
          <w:rFonts w:ascii="Times New Roman" w:hAnsi="Times New Roman"/>
          <w:bCs/>
          <w:sz w:val="28"/>
          <w:szCs w:val="28"/>
        </w:rPr>
        <w:lastRenderedPageBreak/>
        <w:t>обязательств получателей средств бюджета субъекта Российской Федерации, связанных с реализацией инфраструктурных проектов, источником финансового обеспечения которых являются средства бюджетного кредита, в порядке, установленном Министерством финансов Российской Федерации.</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ОМСУ представляет в ДДХ ЯО на бумажном носителе заявку на перечисление субсидии (с возможностью поэтапной оплаты работ, предусмотренной условиями контракта) по форме, предусмотренной соглашением, с приложением копий следующих документов, являющихся основанием для перечисления средств:</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контракты (договоры) на выполнение работ, оказание услуг, приобретение товаров;</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xml:space="preserve">- справка о стоимости выполненных работ и затрат по </w:t>
      </w:r>
      <w:hyperlink r:id="rId18" w:history="1">
        <w:r w:rsidRPr="0023409D">
          <w:rPr>
            <w:rFonts w:ascii="Times New Roman" w:hAnsi="Times New Roman"/>
            <w:bCs/>
            <w:sz w:val="28"/>
            <w:szCs w:val="28"/>
          </w:rPr>
          <w:t>форме КС-3</w:t>
        </w:r>
      </w:hyperlink>
      <w:r w:rsidRPr="0023409D">
        <w:rPr>
          <w:rFonts w:ascii="Times New Roman" w:hAnsi="Times New Roman"/>
          <w:bCs/>
          <w:sz w:val="28"/>
          <w:szCs w:val="28"/>
        </w:rPr>
        <w:t xml:space="preserve">, утвержденной постановлением Государственного комитета Российской Федерации по статистике от 11.11.1999 </w:t>
      </w:r>
      <w:r w:rsidR="00D41C70" w:rsidRPr="0023409D">
        <w:rPr>
          <w:rFonts w:ascii="Times New Roman" w:hAnsi="Times New Roman"/>
          <w:bCs/>
          <w:sz w:val="28"/>
          <w:szCs w:val="28"/>
        </w:rPr>
        <w:t>№</w:t>
      </w:r>
      <w:r w:rsidRPr="0023409D">
        <w:rPr>
          <w:rFonts w:ascii="Times New Roman" w:hAnsi="Times New Roman"/>
          <w:bCs/>
          <w:sz w:val="28"/>
          <w:szCs w:val="28"/>
        </w:rPr>
        <w:t xml:space="preserve"> 100 "Об утверждении унифицированных форм первичной учетной документации по учету работ в капитальном строительстве и ремонтно-строительных работ", акты о приемке выполненных работ по </w:t>
      </w:r>
      <w:hyperlink r:id="rId19" w:history="1">
        <w:r w:rsidRPr="0023409D">
          <w:rPr>
            <w:rFonts w:ascii="Times New Roman" w:hAnsi="Times New Roman"/>
            <w:bCs/>
            <w:sz w:val="28"/>
            <w:szCs w:val="28"/>
          </w:rPr>
          <w:t>форме КС-2</w:t>
        </w:r>
      </w:hyperlink>
      <w:r w:rsidRPr="0023409D">
        <w:rPr>
          <w:rFonts w:ascii="Times New Roman" w:hAnsi="Times New Roman"/>
          <w:bCs/>
          <w:sz w:val="28"/>
          <w:szCs w:val="28"/>
        </w:rPr>
        <w:t>;</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платежные документы, подтверждающие фактическое исполнение расходных обязательств местного бюджета;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разрешение на строительство;</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положительное заключение государственной экспертизы проектной документации и результаты инженерных изысканий;</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распорядительный акт заказчика ОМСУ об утверждении проектной документации и стоимости строительства объекта капитального строительства в ценах периода строительства;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xml:space="preserve">- положительное заключение государственной экологической экспертизы проектной документации в случаях, установленных Градостроительным </w:t>
      </w:r>
      <w:hyperlink r:id="rId20" w:history="1">
        <w:r w:rsidRPr="0023409D">
          <w:rPr>
            <w:rFonts w:ascii="Times New Roman" w:hAnsi="Times New Roman"/>
            <w:bCs/>
            <w:sz w:val="28"/>
            <w:szCs w:val="28"/>
          </w:rPr>
          <w:t>кодексом</w:t>
        </w:r>
      </w:hyperlink>
      <w:r w:rsidRPr="0023409D">
        <w:rPr>
          <w:rFonts w:ascii="Times New Roman" w:hAnsi="Times New Roman"/>
          <w:bCs/>
          <w:sz w:val="28"/>
          <w:szCs w:val="28"/>
        </w:rPr>
        <w:t xml:space="preserve"> Российской Федерации;</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счета на авансовые платежи по контрактам (договорам) на выполнение работ, оказание услуг, приобретение товаров (если соглашением и контрактом предусмотрена возможность авансирования контракта).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14. ОМСУ представляют главному распорядителю средств областного бюджета: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не позднее 15-го числа месяца, следующего за кварталом, в котором была получена субсидия, отчет о расходах муниципального образования области, в целях софинансирования которых предоставляется субсидия, по форме, предусмотренной соглашением;</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не позднее 10 января года, следующего за годом, в котором была получена субсидия, отчет о достижении значений результатов использования субсидии по форме, предусмотренной соглашением.</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ДДХ ЯО имеет право устанавливать в соглашении сроки и формы представления ОМСУ дополнительной отчетности.</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xml:space="preserve">15. Результатом использования субсидии является протяженность автомобильных дорог, на которых проведены работы по </w:t>
      </w:r>
      <w:r w:rsidRPr="0023409D">
        <w:rPr>
          <w:rFonts w:ascii="Times New Roman" w:hAnsi="Times New Roman"/>
          <w:bCs/>
          <w:sz w:val="28"/>
          <w:szCs w:val="28"/>
        </w:rPr>
        <w:lastRenderedPageBreak/>
        <w:t>строительству/реконструкции/капитальному ремонту (километров), в рамках инфраструктурного проекта.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16. Оценка степени достижения результата использования субсидии и эффективности использования субсидии осуществляется ежегодно главным распорядителем средств областного бюджета на основании представляемых ОМСУ отчетов о достижении значений результатов использования субсидии.</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Степень достижения результата использования субсидии (R') рассчитывается по формуле:</w:t>
      </w:r>
    </w:p>
    <w:p w:rsidR="00540E2F" w:rsidRPr="0023409D" w:rsidRDefault="00540E2F" w:rsidP="00D41C70">
      <w:pPr>
        <w:autoSpaceDE w:val="0"/>
        <w:autoSpaceDN w:val="0"/>
        <w:adjustRightInd w:val="0"/>
        <w:contextualSpacing/>
        <w:jc w:val="both"/>
        <w:rPr>
          <w:rFonts w:ascii="Times New Roman" w:hAnsi="Times New Roman"/>
          <w:bCs/>
          <w:sz w:val="28"/>
          <w:szCs w:val="28"/>
        </w:rPr>
      </w:pPr>
    </w:p>
    <w:p w:rsidR="00540E2F" w:rsidRPr="0023409D" w:rsidRDefault="00540E2F" w:rsidP="00D41C70">
      <w:pPr>
        <w:autoSpaceDE w:val="0"/>
        <w:autoSpaceDN w:val="0"/>
        <w:adjustRightInd w:val="0"/>
        <w:contextualSpacing/>
        <w:jc w:val="both"/>
        <w:rPr>
          <w:rFonts w:ascii="Times New Roman" w:hAnsi="Times New Roman"/>
          <w:bCs/>
          <w:sz w:val="28"/>
          <w:szCs w:val="28"/>
        </w:rPr>
      </w:pPr>
      <w:r w:rsidRPr="0023409D">
        <w:rPr>
          <w:rFonts w:ascii="Times New Roman" w:hAnsi="Times New Roman"/>
          <w:bCs/>
          <w:sz w:val="28"/>
          <w:szCs w:val="28"/>
        </w:rPr>
        <w:t>R' = X</w:t>
      </w:r>
      <w:r w:rsidR="005E4BC9" w:rsidRPr="0023409D">
        <w:rPr>
          <w:rFonts w:ascii="Times New Roman" w:hAnsi="Times New Roman"/>
          <w:bCs/>
          <w:sz w:val="28"/>
          <w:szCs w:val="28"/>
          <w:lang w:val="en-US"/>
        </w:rPr>
        <w:t>N</w:t>
      </w:r>
      <w:r w:rsidRPr="0023409D">
        <w:rPr>
          <w:rFonts w:ascii="Times New Roman" w:hAnsi="Times New Roman"/>
          <w:bCs/>
          <w:sz w:val="28"/>
          <w:szCs w:val="28"/>
          <w:vertAlign w:val="subscript"/>
        </w:rPr>
        <w:t>тек.</w:t>
      </w:r>
      <w:r w:rsidRPr="0023409D">
        <w:rPr>
          <w:rFonts w:ascii="Times New Roman" w:hAnsi="Times New Roman"/>
          <w:bCs/>
          <w:sz w:val="28"/>
          <w:szCs w:val="28"/>
        </w:rPr>
        <w:t xml:space="preserve"> / X</w:t>
      </w:r>
      <w:r w:rsidR="005E4BC9" w:rsidRPr="0023409D">
        <w:rPr>
          <w:rFonts w:ascii="Times New Roman" w:hAnsi="Times New Roman"/>
          <w:bCs/>
          <w:sz w:val="28"/>
          <w:szCs w:val="28"/>
          <w:lang w:val="en-US"/>
        </w:rPr>
        <w:t>N</w:t>
      </w:r>
      <w:r w:rsidRPr="0023409D">
        <w:rPr>
          <w:rFonts w:ascii="Times New Roman" w:hAnsi="Times New Roman"/>
          <w:bCs/>
          <w:sz w:val="28"/>
          <w:szCs w:val="28"/>
          <w:vertAlign w:val="subscript"/>
        </w:rPr>
        <w:t>план.</w:t>
      </w:r>
      <w:r w:rsidRPr="0023409D">
        <w:rPr>
          <w:rFonts w:ascii="Times New Roman" w:hAnsi="Times New Roman"/>
          <w:bCs/>
          <w:sz w:val="28"/>
          <w:szCs w:val="28"/>
        </w:rPr>
        <w:t>,</w:t>
      </w:r>
    </w:p>
    <w:p w:rsidR="00540E2F" w:rsidRPr="0023409D" w:rsidRDefault="00540E2F" w:rsidP="00D41C70">
      <w:pPr>
        <w:autoSpaceDE w:val="0"/>
        <w:autoSpaceDN w:val="0"/>
        <w:adjustRightInd w:val="0"/>
        <w:contextualSpacing/>
        <w:jc w:val="both"/>
        <w:rPr>
          <w:rFonts w:ascii="Times New Roman" w:hAnsi="Times New Roman"/>
          <w:bCs/>
          <w:sz w:val="28"/>
          <w:szCs w:val="28"/>
        </w:rPr>
      </w:pPr>
    </w:p>
    <w:p w:rsidR="00540E2F" w:rsidRPr="0023409D" w:rsidRDefault="00540E2F" w:rsidP="00D41C70">
      <w:pPr>
        <w:autoSpaceDE w:val="0"/>
        <w:autoSpaceDN w:val="0"/>
        <w:adjustRightInd w:val="0"/>
        <w:contextualSpacing/>
        <w:jc w:val="both"/>
        <w:rPr>
          <w:rFonts w:ascii="Times New Roman" w:hAnsi="Times New Roman"/>
          <w:bCs/>
          <w:sz w:val="28"/>
          <w:szCs w:val="28"/>
        </w:rPr>
      </w:pPr>
      <w:r w:rsidRPr="0023409D">
        <w:rPr>
          <w:rFonts w:ascii="Times New Roman" w:hAnsi="Times New Roman"/>
          <w:bCs/>
          <w:sz w:val="28"/>
          <w:szCs w:val="28"/>
        </w:rPr>
        <w:t>где:</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X</w:t>
      </w:r>
      <w:r w:rsidR="005E4BC9" w:rsidRPr="0023409D">
        <w:rPr>
          <w:rFonts w:ascii="Times New Roman" w:hAnsi="Times New Roman"/>
          <w:bCs/>
          <w:sz w:val="28"/>
          <w:szCs w:val="28"/>
          <w:lang w:val="en-US"/>
        </w:rPr>
        <w:t>N</w:t>
      </w:r>
      <w:r w:rsidRPr="0023409D">
        <w:rPr>
          <w:rFonts w:ascii="Times New Roman" w:hAnsi="Times New Roman"/>
          <w:bCs/>
          <w:sz w:val="28"/>
          <w:szCs w:val="28"/>
          <w:vertAlign w:val="subscript"/>
        </w:rPr>
        <w:t>тек.</w:t>
      </w:r>
      <w:r w:rsidRPr="0023409D">
        <w:rPr>
          <w:rFonts w:ascii="Times New Roman" w:hAnsi="Times New Roman"/>
          <w:bCs/>
          <w:sz w:val="28"/>
          <w:szCs w:val="28"/>
        </w:rPr>
        <w:t xml:space="preserve"> - текущее значение результата использования субсидии;</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X</w:t>
      </w:r>
      <w:r w:rsidR="005E4BC9" w:rsidRPr="0023409D">
        <w:rPr>
          <w:rFonts w:ascii="Times New Roman" w:hAnsi="Times New Roman"/>
          <w:bCs/>
          <w:sz w:val="28"/>
          <w:szCs w:val="28"/>
          <w:lang w:val="en-US"/>
        </w:rPr>
        <w:t>N</w:t>
      </w:r>
      <w:r w:rsidRPr="0023409D">
        <w:rPr>
          <w:rFonts w:ascii="Times New Roman" w:hAnsi="Times New Roman"/>
          <w:bCs/>
          <w:sz w:val="28"/>
          <w:szCs w:val="28"/>
          <w:vertAlign w:val="subscript"/>
        </w:rPr>
        <w:t>план.</w:t>
      </w:r>
      <w:r w:rsidRPr="0023409D">
        <w:rPr>
          <w:rFonts w:ascii="Times New Roman" w:hAnsi="Times New Roman"/>
          <w:bCs/>
          <w:sz w:val="28"/>
          <w:szCs w:val="28"/>
        </w:rPr>
        <w:t xml:space="preserve"> - плановое значение результата использования субсидии.</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Показатель эффективности использования субсидии (R) рассчитывается по формуле:</w:t>
      </w:r>
    </w:p>
    <w:p w:rsidR="00540E2F" w:rsidRPr="0023409D" w:rsidRDefault="00540E2F" w:rsidP="00D41C70">
      <w:pPr>
        <w:autoSpaceDE w:val="0"/>
        <w:autoSpaceDN w:val="0"/>
        <w:adjustRightInd w:val="0"/>
        <w:contextualSpacing/>
        <w:jc w:val="both"/>
        <w:rPr>
          <w:rFonts w:ascii="Times New Roman" w:hAnsi="Times New Roman"/>
          <w:bCs/>
          <w:sz w:val="28"/>
          <w:szCs w:val="28"/>
        </w:rPr>
      </w:pPr>
    </w:p>
    <w:p w:rsidR="00540E2F" w:rsidRPr="0023409D" w:rsidRDefault="00540E2F" w:rsidP="00D41C70">
      <w:pPr>
        <w:autoSpaceDE w:val="0"/>
        <w:autoSpaceDN w:val="0"/>
        <w:adjustRightInd w:val="0"/>
        <w:contextualSpacing/>
        <w:jc w:val="both"/>
        <w:rPr>
          <w:rFonts w:ascii="Times New Roman" w:hAnsi="Times New Roman"/>
          <w:bCs/>
          <w:sz w:val="28"/>
          <w:szCs w:val="28"/>
        </w:rPr>
      </w:pPr>
      <w:r w:rsidRPr="0023409D">
        <w:rPr>
          <w:rFonts w:ascii="Times New Roman" w:hAnsi="Times New Roman"/>
          <w:bCs/>
          <w:sz w:val="28"/>
          <w:szCs w:val="28"/>
        </w:rPr>
        <w:t>R = R' / (F</w:t>
      </w:r>
      <w:r w:rsidRPr="0023409D">
        <w:rPr>
          <w:rFonts w:ascii="Times New Roman" w:hAnsi="Times New Roman"/>
          <w:bCs/>
          <w:sz w:val="28"/>
          <w:szCs w:val="28"/>
          <w:vertAlign w:val="subscript"/>
        </w:rPr>
        <w:t>тек.</w:t>
      </w:r>
      <w:r w:rsidRPr="0023409D">
        <w:rPr>
          <w:rFonts w:ascii="Times New Roman" w:hAnsi="Times New Roman"/>
          <w:bCs/>
          <w:sz w:val="28"/>
          <w:szCs w:val="28"/>
        </w:rPr>
        <w:t xml:space="preserve"> / F</w:t>
      </w:r>
      <w:r w:rsidRPr="0023409D">
        <w:rPr>
          <w:rFonts w:ascii="Times New Roman" w:hAnsi="Times New Roman"/>
          <w:bCs/>
          <w:sz w:val="28"/>
          <w:szCs w:val="28"/>
          <w:vertAlign w:val="subscript"/>
        </w:rPr>
        <w:t>план.</w:t>
      </w:r>
      <w:r w:rsidRPr="0023409D">
        <w:rPr>
          <w:rFonts w:ascii="Times New Roman" w:hAnsi="Times New Roman"/>
          <w:bCs/>
          <w:sz w:val="28"/>
          <w:szCs w:val="28"/>
        </w:rPr>
        <w:t>) x 100%,</w:t>
      </w:r>
    </w:p>
    <w:p w:rsidR="00540E2F" w:rsidRPr="0023409D" w:rsidRDefault="00540E2F" w:rsidP="00D41C70">
      <w:pPr>
        <w:autoSpaceDE w:val="0"/>
        <w:autoSpaceDN w:val="0"/>
        <w:adjustRightInd w:val="0"/>
        <w:contextualSpacing/>
        <w:jc w:val="both"/>
        <w:rPr>
          <w:rFonts w:ascii="Times New Roman" w:hAnsi="Times New Roman"/>
          <w:bCs/>
          <w:sz w:val="28"/>
          <w:szCs w:val="28"/>
        </w:rPr>
      </w:pPr>
    </w:p>
    <w:p w:rsidR="00540E2F" w:rsidRPr="0023409D" w:rsidRDefault="00540E2F" w:rsidP="00D41C70">
      <w:pPr>
        <w:autoSpaceDE w:val="0"/>
        <w:autoSpaceDN w:val="0"/>
        <w:adjustRightInd w:val="0"/>
        <w:contextualSpacing/>
        <w:jc w:val="both"/>
        <w:rPr>
          <w:rFonts w:ascii="Times New Roman" w:hAnsi="Times New Roman"/>
          <w:bCs/>
          <w:sz w:val="28"/>
          <w:szCs w:val="28"/>
        </w:rPr>
      </w:pPr>
      <w:r w:rsidRPr="0023409D">
        <w:rPr>
          <w:rFonts w:ascii="Times New Roman" w:hAnsi="Times New Roman"/>
          <w:bCs/>
          <w:sz w:val="28"/>
          <w:szCs w:val="28"/>
        </w:rPr>
        <w:t>где:</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R' - степень достижения результата использования субсидии;</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F</w:t>
      </w:r>
      <w:r w:rsidRPr="0023409D">
        <w:rPr>
          <w:rFonts w:ascii="Times New Roman" w:hAnsi="Times New Roman"/>
          <w:bCs/>
          <w:sz w:val="28"/>
          <w:szCs w:val="28"/>
          <w:vertAlign w:val="subscript"/>
        </w:rPr>
        <w:t>тек.</w:t>
      </w:r>
      <w:r w:rsidRPr="0023409D">
        <w:rPr>
          <w:rFonts w:ascii="Times New Roman" w:hAnsi="Times New Roman"/>
          <w:bCs/>
          <w:sz w:val="28"/>
          <w:szCs w:val="28"/>
        </w:rPr>
        <w:t xml:space="preserve"> - сумма финансирования на текущую дату;</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F</w:t>
      </w:r>
      <w:r w:rsidRPr="0023409D">
        <w:rPr>
          <w:rFonts w:ascii="Times New Roman" w:hAnsi="Times New Roman"/>
          <w:bCs/>
          <w:sz w:val="28"/>
          <w:szCs w:val="28"/>
          <w:vertAlign w:val="subscript"/>
        </w:rPr>
        <w:t>план.</w:t>
      </w:r>
      <w:r w:rsidRPr="0023409D">
        <w:rPr>
          <w:rFonts w:ascii="Times New Roman" w:hAnsi="Times New Roman"/>
          <w:bCs/>
          <w:sz w:val="28"/>
          <w:szCs w:val="28"/>
        </w:rPr>
        <w:t xml:space="preserve"> - плановая сумма финансирования.</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При значении показателя эффективности использования субсидии 95 процентов и более эффективность использования субсидии признается высокой, при значении от 90 до 95 процентов - средней, при значении менее 90 процентов - низкой.</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17.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bookmarkStart w:id="2" w:name="Par83"/>
      <w:bookmarkEnd w:id="2"/>
      <w:r w:rsidRPr="0023409D">
        <w:rPr>
          <w:rFonts w:ascii="Times New Roman" w:hAnsi="Times New Roman"/>
          <w:bCs/>
          <w:sz w:val="28"/>
          <w:szCs w:val="28"/>
        </w:rPr>
        <w:t>17.1. 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муниципальное образование области в срок до 01 апреля года, следующего за годом предоставления субсидии, должно осуществить возврат средств в доход областного бюджета.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xml:space="preserve">17.2. Объем средств, подлежащих возврату в доход областного бюджета в соответствии с </w:t>
      </w:r>
      <w:hyperlink w:anchor="Par83" w:history="1">
        <w:r w:rsidRPr="0023409D">
          <w:rPr>
            <w:rFonts w:ascii="Times New Roman" w:hAnsi="Times New Roman"/>
            <w:bCs/>
            <w:sz w:val="28"/>
            <w:szCs w:val="28"/>
          </w:rPr>
          <w:t>подпунктом 17.1</w:t>
        </w:r>
      </w:hyperlink>
      <w:r w:rsidRPr="0023409D">
        <w:rPr>
          <w:rFonts w:ascii="Times New Roman" w:hAnsi="Times New Roman"/>
          <w:bCs/>
          <w:sz w:val="28"/>
          <w:szCs w:val="28"/>
        </w:rPr>
        <w:t xml:space="preserve"> данного пункта, рассчитывается в соответствии с </w:t>
      </w:r>
      <w:hyperlink r:id="rId21" w:history="1">
        <w:r w:rsidRPr="0023409D">
          <w:rPr>
            <w:rFonts w:ascii="Times New Roman" w:hAnsi="Times New Roman"/>
            <w:bCs/>
            <w:sz w:val="28"/>
            <w:szCs w:val="28"/>
          </w:rPr>
          <w:t>пунктом 5.1 раздела 5</w:t>
        </w:r>
      </w:hyperlink>
      <w:r w:rsidRPr="0023409D">
        <w:rPr>
          <w:rFonts w:ascii="Times New Roman" w:hAnsi="Times New Roman"/>
          <w:bCs/>
          <w:sz w:val="28"/>
          <w:szCs w:val="28"/>
        </w:rPr>
        <w:t xml:space="preserve"> Правил.</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xml:space="preserve">17.3. В случае выявления недостаточного софинансирования расходных обязательств муниципального образования области из местного бюджета </w:t>
      </w:r>
      <w:r w:rsidRPr="0023409D">
        <w:rPr>
          <w:rFonts w:ascii="Times New Roman" w:hAnsi="Times New Roman"/>
          <w:bCs/>
          <w:sz w:val="28"/>
          <w:szCs w:val="28"/>
        </w:rPr>
        <w:lastRenderedPageBreak/>
        <w:t xml:space="preserve">объем средств, подлежащих возврату, рассчитывается в соответствии с </w:t>
      </w:r>
      <w:hyperlink r:id="rId22" w:history="1">
        <w:r w:rsidRPr="0023409D">
          <w:rPr>
            <w:rFonts w:ascii="Times New Roman" w:hAnsi="Times New Roman"/>
            <w:bCs/>
            <w:sz w:val="28"/>
            <w:szCs w:val="28"/>
          </w:rPr>
          <w:t>пунктом 5.2 раздела 5</w:t>
        </w:r>
      </w:hyperlink>
      <w:r w:rsidRPr="0023409D">
        <w:rPr>
          <w:rFonts w:ascii="Times New Roman" w:hAnsi="Times New Roman"/>
          <w:bCs/>
          <w:sz w:val="28"/>
          <w:szCs w:val="28"/>
        </w:rPr>
        <w:t xml:space="preserve"> Правил.</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17.4. В случае уменьшения суммы предоставляемой муниципальному образованию области субсидии в результате экономии по итогам проведения закупок товаров (работ, услуг) для муниципальных нужд указанные средства подлежат перераспределению в соответствии с целевым назначением субсидии по перечню объектов, предусмотренному соглашением, в пределах общего объема средств, предоставленных соответствующему муниципальному образованию области в соответствии с законом Ярославской области об областном бюджете путем заключения дополнительного соглашения между ОМСУ и главным распорядителем бюджетных средств.</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 xml:space="preserve">17.5. Остаток не использованной в текущем финансовом году субсидии, источником которой являются средства областного бюджета, потребность в которой сохраняется, при подтверждении потребности главным администратором доходов подлежит использованию в очередном финансовом году на те же цели в соответствии с </w:t>
      </w:r>
      <w:hyperlink r:id="rId23" w:history="1">
        <w:r w:rsidRPr="0023409D">
          <w:rPr>
            <w:rFonts w:ascii="Times New Roman" w:hAnsi="Times New Roman"/>
            <w:bCs/>
            <w:sz w:val="28"/>
            <w:szCs w:val="28"/>
          </w:rPr>
          <w:t>постановлением</w:t>
        </w:r>
      </w:hyperlink>
      <w:r w:rsidRPr="0023409D">
        <w:rPr>
          <w:rFonts w:ascii="Times New Roman" w:hAnsi="Times New Roman"/>
          <w:bCs/>
          <w:sz w:val="28"/>
          <w:szCs w:val="28"/>
        </w:rPr>
        <w:t xml:space="preserve"> Правительства области от 03.02.2017 </w:t>
      </w:r>
      <w:r w:rsidR="00D41C70" w:rsidRPr="0023409D">
        <w:rPr>
          <w:rFonts w:ascii="Times New Roman" w:hAnsi="Times New Roman"/>
          <w:bCs/>
          <w:sz w:val="28"/>
          <w:szCs w:val="28"/>
        </w:rPr>
        <w:t>№</w:t>
      </w:r>
      <w:r w:rsidRPr="0023409D">
        <w:rPr>
          <w:rFonts w:ascii="Times New Roman" w:hAnsi="Times New Roman"/>
          <w:bCs/>
          <w:sz w:val="28"/>
          <w:szCs w:val="28"/>
        </w:rPr>
        <w:t xml:space="preserve">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 При установлении отсутствия у муниципального образования области потребности в субсидии остаток неиспользованных средств подлежит возврату в доход областного бюджета.</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18. Ответственность за целевое использование субсидии, а также за достоверность представляемых сведений возлагается на ОМСУ.</w:t>
      </w:r>
    </w:p>
    <w:p w:rsidR="00540E2F" w:rsidRPr="0023409D" w:rsidRDefault="00540E2F" w:rsidP="00D41C70">
      <w:pPr>
        <w:autoSpaceDE w:val="0"/>
        <w:autoSpaceDN w:val="0"/>
        <w:adjustRightInd w:val="0"/>
        <w:spacing w:before="280"/>
        <w:ind w:firstLine="540"/>
        <w:contextualSpacing/>
        <w:jc w:val="both"/>
        <w:rPr>
          <w:rFonts w:ascii="Times New Roman" w:hAnsi="Times New Roman"/>
          <w:bCs/>
          <w:sz w:val="28"/>
          <w:szCs w:val="28"/>
        </w:rPr>
      </w:pPr>
      <w:r w:rsidRPr="0023409D">
        <w:rPr>
          <w:rFonts w:ascii="Times New Roman" w:hAnsi="Times New Roman"/>
          <w:bCs/>
          <w:sz w:val="28"/>
          <w:szCs w:val="28"/>
        </w:rPr>
        <w:t>19. Контроль за целевым расходованием субсидии осуществляется в соответствии с действующим законодательством.</w:t>
      </w:r>
    </w:p>
    <w:sectPr w:rsidR="00540E2F" w:rsidRPr="0023409D" w:rsidSect="003F1ACA">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F5" w:rsidRDefault="00206FF5" w:rsidP="00E6246D">
      <w:r>
        <w:separator/>
      </w:r>
    </w:p>
  </w:endnote>
  <w:endnote w:type="continuationSeparator" w:id="0">
    <w:p w:rsidR="00206FF5" w:rsidRDefault="00206FF5" w:rsidP="00E6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9D" w:rsidRDefault="0023409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9D" w:rsidRDefault="0023409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9D" w:rsidRDefault="002340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F5" w:rsidRDefault="00206FF5" w:rsidP="00E6246D">
      <w:r>
        <w:separator/>
      </w:r>
    </w:p>
  </w:footnote>
  <w:footnote w:type="continuationSeparator" w:id="0">
    <w:p w:rsidR="00206FF5" w:rsidRDefault="00206FF5" w:rsidP="00E62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9D" w:rsidRDefault="0023409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133417"/>
      <w:docPartObj>
        <w:docPartGallery w:val="Page Numbers (Top of Page)"/>
        <w:docPartUnique/>
      </w:docPartObj>
    </w:sdtPr>
    <w:sdtEndPr>
      <w:rPr>
        <w:rFonts w:ascii="Times New Roman" w:hAnsi="Times New Roman"/>
        <w:sz w:val="28"/>
        <w:szCs w:val="24"/>
      </w:rPr>
    </w:sdtEndPr>
    <w:sdtContent>
      <w:p w:rsidR="00E6246D" w:rsidRPr="005E4BC9" w:rsidRDefault="00E6246D">
        <w:pPr>
          <w:pStyle w:val="a5"/>
          <w:jc w:val="center"/>
          <w:rPr>
            <w:rFonts w:ascii="Times New Roman" w:hAnsi="Times New Roman"/>
            <w:sz w:val="28"/>
            <w:szCs w:val="24"/>
          </w:rPr>
        </w:pPr>
        <w:r w:rsidRPr="005E4BC9">
          <w:rPr>
            <w:rFonts w:ascii="Times New Roman" w:hAnsi="Times New Roman"/>
            <w:sz w:val="28"/>
            <w:szCs w:val="24"/>
          </w:rPr>
          <w:fldChar w:fldCharType="begin"/>
        </w:r>
        <w:r w:rsidRPr="005E4BC9">
          <w:rPr>
            <w:rFonts w:ascii="Times New Roman" w:hAnsi="Times New Roman"/>
            <w:sz w:val="28"/>
            <w:szCs w:val="24"/>
          </w:rPr>
          <w:instrText>PAGE   \* MERGEFORMAT</w:instrText>
        </w:r>
        <w:r w:rsidRPr="005E4BC9">
          <w:rPr>
            <w:rFonts w:ascii="Times New Roman" w:hAnsi="Times New Roman"/>
            <w:sz w:val="28"/>
            <w:szCs w:val="24"/>
          </w:rPr>
          <w:fldChar w:fldCharType="separate"/>
        </w:r>
        <w:r w:rsidR="0023409D">
          <w:rPr>
            <w:rFonts w:ascii="Times New Roman" w:hAnsi="Times New Roman"/>
            <w:noProof/>
            <w:sz w:val="28"/>
            <w:szCs w:val="24"/>
          </w:rPr>
          <w:t>2</w:t>
        </w:r>
        <w:r w:rsidRPr="005E4BC9">
          <w:rPr>
            <w:rFonts w:ascii="Times New Roman" w:hAnsi="Times New Roman"/>
            <w:sz w:val="28"/>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9D" w:rsidRDefault="002340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170"/>
    <w:multiLevelType w:val="multilevel"/>
    <w:tmpl w:val="F1B4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831CC"/>
    <w:multiLevelType w:val="multilevel"/>
    <w:tmpl w:val="2F7C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B0CD0"/>
    <w:multiLevelType w:val="multilevel"/>
    <w:tmpl w:val="695A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F0332"/>
    <w:multiLevelType w:val="multilevel"/>
    <w:tmpl w:val="9288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287102"/>
    <w:multiLevelType w:val="multilevel"/>
    <w:tmpl w:val="5A36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DA"/>
    <w:rsid w:val="000078B0"/>
    <w:rsid w:val="00027D3E"/>
    <w:rsid w:val="000437EF"/>
    <w:rsid w:val="000565B4"/>
    <w:rsid w:val="00083E23"/>
    <w:rsid w:val="00084B43"/>
    <w:rsid w:val="000C51D1"/>
    <w:rsid w:val="000D2BB1"/>
    <w:rsid w:val="000F2C56"/>
    <w:rsid w:val="00115210"/>
    <w:rsid w:val="0014301B"/>
    <w:rsid w:val="0015557C"/>
    <w:rsid w:val="00196D38"/>
    <w:rsid w:val="001B2E37"/>
    <w:rsid w:val="001C0ED7"/>
    <w:rsid w:val="001F32F6"/>
    <w:rsid w:val="00206FF5"/>
    <w:rsid w:val="00213357"/>
    <w:rsid w:val="0023409D"/>
    <w:rsid w:val="00244EC6"/>
    <w:rsid w:val="002538BA"/>
    <w:rsid w:val="00262DFD"/>
    <w:rsid w:val="00295CDB"/>
    <w:rsid w:val="002C2002"/>
    <w:rsid w:val="002D4D11"/>
    <w:rsid w:val="002D5343"/>
    <w:rsid w:val="002E35A4"/>
    <w:rsid w:val="002E6164"/>
    <w:rsid w:val="002F4BFE"/>
    <w:rsid w:val="00330CC5"/>
    <w:rsid w:val="00343D00"/>
    <w:rsid w:val="00366241"/>
    <w:rsid w:val="00394AD8"/>
    <w:rsid w:val="00397D56"/>
    <w:rsid w:val="003A66E7"/>
    <w:rsid w:val="003B2BF7"/>
    <w:rsid w:val="003B2E9E"/>
    <w:rsid w:val="003C249F"/>
    <w:rsid w:val="003F1ACA"/>
    <w:rsid w:val="00402AD4"/>
    <w:rsid w:val="00442F62"/>
    <w:rsid w:val="004434BF"/>
    <w:rsid w:val="004467A1"/>
    <w:rsid w:val="004529D2"/>
    <w:rsid w:val="004A7802"/>
    <w:rsid w:val="004B4351"/>
    <w:rsid w:val="005034A2"/>
    <w:rsid w:val="00524DDD"/>
    <w:rsid w:val="00540E2F"/>
    <w:rsid w:val="00550DE2"/>
    <w:rsid w:val="00563130"/>
    <w:rsid w:val="00564B59"/>
    <w:rsid w:val="005836ED"/>
    <w:rsid w:val="00585162"/>
    <w:rsid w:val="0059337D"/>
    <w:rsid w:val="005E4BC9"/>
    <w:rsid w:val="00640B80"/>
    <w:rsid w:val="0066073E"/>
    <w:rsid w:val="006643CA"/>
    <w:rsid w:val="00684B08"/>
    <w:rsid w:val="00706992"/>
    <w:rsid w:val="00717F7E"/>
    <w:rsid w:val="00731DFD"/>
    <w:rsid w:val="00740256"/>
    <w:rsid w:val="007836F3"/>
    <w:rsid w:val="007941A6"/>
    <w:rsid w:val="00797CF7"/>
    <w:rsid w:val="00803C74"/>
    <w:rsid w:val="00805C85"/>
    <w:rsid w:val="0083062E"/>
    <w:rsid w:val="00853D6B"/>
    <w:rsid w:val="00866549"/>
    <w:rsid w:val="0088091F"/>
    <w:rsid w:val="00896F11"/>
    <w:rsid w:val="008F08A5"/>
    <w:rsid w:val="0090233B"/>
    <w:rsid w:val="00903F06"/>
    <w:rsid w:val="00906A8A"/>
    <w:rsid w:val="0094173F"/>
    <w:rsid w:val="00950F79"/>
    <w:rsid w:val="00971D77"/>
    <w:rsid w:val="00972A45"/>
    <w:rsid w:val="00980EC1"/>
    <w:rsid w:val="00994047"/>
    <w:rsid w:val="009C050B"/>
    <w:rsid w:val="009C2F06"/>
    <w:rsid w:val="009D69E4"/>
    <w:rsid w:val="009D73B4"/>
    <w:rsid w:val="009E7B48"/>
    <w:rsid w:val="009F3092"/>
    <w:rsid w:val="00A17014"/>
    <w:rsid w:val="00A17F16"/>
    <w:rsid w:val="00A25406"/>
    <w:rsid w:val="00A6268E"/>
    <w:rsid w:val="00A83CC3"/>
    <w:rsid w:val="00A85E02"/>
    <w:rsid w:val="00A91129"/>
    <w:rsid w:val="00A91952"/>
    <w:rsid w:val="00A93417"/>
    <w:rsid w:val="00A9565F"/>
    <w:rsid w:val="00A9732E"/>
    <w:rsid w:val="00AB2B2C"/>
    <w:rsid w:val="00AD1D31"/>
    <w:rsid w:val="00B20646"/>
    <w:rsid w:val="00B45DE1"/>
    <w:rsid w:val="00B60F4B"/>
    <w:rsid w:val="00B802F8"/>
    <w:rsid w:val="00BA07B8"/>
    <w:rsid w:val="00BA290F"/>
    <w:rsid w:val="00BC50EE"/>
    <w:rsid w:val="00BE0312"/>
    <w:rsid w:val="00BF4124"/>
    <w:rsid w:val="00C02536"/>
    <w:rsid w:val="00C04019"/>
    <w:rsid w:val="00C14B1A"/>
    <w:rsid w:val="00C201D3"/>
    <w:rsid w:val="00C35E1F"/>
    <w:rsid w:val="00C76689"/>
    <w:rsid w:val="00C81DA5"/>
    <w:rsid w:val="00C9589E"/>
    <w:rsid w:val="00CF57E1"/>
    <w:rsid w:val="00D06BFE"/>
    <w:rsid w:val="00D06E10"/>
    <w:rsid w:val="00D250B3"/>
    <w:rsid w:val="00D2664E"/>
    <w:rsid w:val="00D41C70"/>
    <w:rsid w:val="00D51838"/>
    <w:rsid w:val="00D577B7"/>
    <w:rsid w:val="00D67A1F"/>
    <w:rsid w:val="00DF2023"/>
    <w:rsid w:val="00E138E1"/>
    <w:rsid w:val="00E13DEB"/>
    <w:rsid w:val="00E6246D"/>
    <w:rsid w:val="00EC395A"/>
    <w:rsid w:val="00EF47DA"/>
    <w:rsid w:val="00F024D5"/>
    <w:rsid w:val="00F06C8D"/>
    <w:rsid w:val="00F22E22"/>
    <w:rsid w:val="00F32273"/>
    <w:rsid w:val="00F676D1"/>
    <w:rsid w:val="00FA33FB"/>
    <w:rsid w:val="00FC5BDA"/>
    <w:rsid w:val="00FD2B6C"/>
    <w:rsid w:val="00FD5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F8"/>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357"/>
    <w:rPr>
      <w:rFonts w:ascii="Tahoma" w:hAnsi="Tahoma" w:cs="Tahoma"/>
      <w:sz w:val="16"/>
      <w:szCs w:val="16"/>
    </w:rPr>
  </w:style>
  <w:style w:type="character" w:customStyle="1" w:styleId="a4">
    <w:name w:val="Текст выноски Знак"/>
    <w:basedOn w:val="a0"/>
    <w:link w:val="a3"/>
    <w:uiPriority w:val="99"/>
    <w:semiHidden/>
    <w:rsid w:val="00213357"/>
    <w:rPr>
      <w:rFonts w:ascii="Tahoma" w:hAnsi="Tahoma" w:cs="Tahoma"/>
      <w:sz w:val="16"/>
      <w:szCs w:val="16"/>
    </w:rPr>
  </w:style>
  <w:style w:type="paragraph" w:customStyle="1" w:styleId="ConsPlusTitle">
    <w:name w:val="ConsPlusTitle"/>
    <w:rsid w:val="00E6246D"/>
    <w:pPr>
      <w:widowControl w:val="0"/>
      <w:autoSpaceDE w:val="0"/>
      <w:autoSpaceDN w:val="0"/>
      <w:spacing w:after="0" w:line="240" w:lineRule="auto"/>
    </w:pPr>
    <w:rPr>
      <w:rFonts w:ascii="Arial" w:eastAsiaTheme="minorEastAsia" w:hAnsi="Arial" w:cs="Arial"/>
      <w:b/>
      <w:sz w:val="20"/>
      <w:lang w:eastAsia="ru-RU"/>
    </w:rPr>
  </w:style>
  <w:style w:type="paragraph" w:styleId="a5">
    <w:name w:val="header"/>
    <w:basedOn w:val="a"/>
    <w:link w:val="a6"/>
    <w:uiPriority w:val="99"/>
    <w:unhideWhenUsed/>
    <w:rsid w:val="00E6246D"/>
    <w:pPr>
      <w:tabs>
        <w:tab w:val="center" w:pos="4677"/>
        <w:tab w:val="right" w:pos="9355"/>
      </w:tabs>
    </w:pPr>
  </w:style>
  <w:style w:type="character" w:customStyle="1" w:styleId="a6">
    <w:name w:val="Верхний колонтитул Знак"/>
    <w:basedOn w:val="a0"/>
    <w:link w:val="a5"/>
    <w:uiPriority w:val="99"/>
    <w:rsid w:val="00E6246D"/>
    <w:rPr>
      <w:rFonts w:ascii="Calibri" w:hAnsi="Calibri" w:cs="Times New Roman"/>
    </w:rPr>
  </w:style>
  <w:style w:type="paragraph" w:styleId="a7">
    <w:name w:val="footer"/>
    <w:basedOn w:val="a"/>
    <w:link w:val="a8"/>
    <w:uiPriority w:val="99"/>
    <w:unhideWhenUsed/>
    <w:rsid w:val="00E6246D"/>
    <w:pPr>
      <w:tabs>
        <w:tab w:val="center" w:pos="4677"/>
        <w:tab w:val="right" w:pos="9355"/>
      </w:tabs>
    </w:pPr>
  </w:style>
  <w:style w:type="character" w:customStyle="1" w:styleId="a8">
    <w:name w:val="Нижний колонтитул Знак"/>
    <w:basedOn w:val="a0"/>
    <w:link w:val="a7"/>
    <w:uiPriority w:val="99"/>
    <w:rsid w:val="00E6246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F8"/>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357"/>
    <w:rPr>
      <w:rFonts w:ascii="Tahoma" w:hAnsi="Tahoma" w:cs="Tahoma"/>
      <w:sz w:val="16"/>
      <w:szCs w:val="16"/>
    </w:rPr>
  </w:style>
  <w:style w:type="character" w:customStyle="1" w:styleId="a4">
    <w:name w:val="Текст выноски Знак"/>
    <w:basedOn w:val="a0"/>
    <w:link w:val="a3"/>
    <w:uiPriority w:val="99"/>
    <w:semiHidden/>
    <w:rsid w:val="00213357"/>
    <w:rPr>
      <w:rFonts w:ascii="Tahoma" w:hAnsi="Tahoma" w:cs="Tahoma"/>
      <w:sz w:val="16"/>
      <w:szCs w:val="16"/>
    </w:rPr>
  </w:style>
  <w:style w:type="paragraph" w:customStyle="1" w:styleId="ConsPlusTitle">
    <w:name w:val="ConsPlusTitle"/>
    <w:rsid w:val="00E6246D"/>
    <w:pPr>
      <w:widowControl w:val="0"/>
      <w:autoSpaceDE w:val="0"/>
      <w:autoSpaceDN w:val="0"/>
      <w:spacing w:after="0" w:line="240" w:lineRule="auto"/>
    </w:pPr>
    <w:rPr>
      <w:rFonts w:ascii="Arial" w:eastAsiaTheme="minorEastAsia" w:hAnsi="Arial" w:cs="Arial"/>
      <w:b/>
      <w:sz w:val="20"/>
      <w:lang w:eastAsia="ru-RU"/>
    </w:rPr>
  </w:style>
  <w:style w:type="paragraph" w:styleId="a5">
    <w:name w:val="header"/>
    <w:basedOn w:val="a"/>
    <w:link w:val="a6"/>
    <w:uiPriority w:val="99"/>
    <w:unhideWhenUsed/>
    <w:rsid w:val="00E6246D"/>
    <w:pPr>
      <w:tabs>
        <w:tab w:val="center" w:pos="4677"/>
        <w:tab w:val="right" w:pos="9355"/>
      </w:tabs>
    </w:pPr>
  </w:style>
  <w:style w:type="character" w:customStyle="1" w:styleId="a6">
    <w:name w:val="Верхний колонтитул Знак"/>
    <w:basedOn w:val="a0"/>
    <w:link w:val="a5"/>
    <w:uiPriority w:val="99"/>
    <w:rsid w:val="00E6246D"/>
    <w:rPr>
      <w:rFonts w:ascii="Calibri" w:hAnsi="Calibri" w:cs="Times New Roman"/>
    </w:rPr>
  </w:style>
  <w:style w:type="paragraph" w:styleId="a7">
    <w:name w:val="footer"/>
    <w:basedOn w:val="a"/>
    <w:link w:val="a8"/>
    <w:uiPriority w:val="99"/>
    <w:unhideWhenUsed/>
    <w:rsid w:val="00E6246D"/>
    <w:pPr>
      <w:tabs>
        <w:tab w:val="center" w:pos="4677"/>
        <w:tab w:val="right" w:pos="9355"/>
      </w:tabs>
    </w:pPr>
  </w:style>
  <w:style w:type="character" w:customStyle="1" w:styleId="a8">
    <w:name w:val="Нижний колонтитул Знак"/>
    <w:basedOn w:val="a0"/>
    <w:link w:val="a7"/>
    <w:uiPriority w:val="99"/>
    <w:rsid w:val="00E6246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29952">
      <w:bodyDiv w:val="1"/>
      <w:marLeft w:val="0"/>
      <w:marRight w:val="0"/>
      <w:marTop w:val="0"/>
      <w:marBottom w:val="0"/>
      <w:divBdr>
        <w:top w:val="none" w:sz="0" w:space="0" w:color="auto"/>
        <w:left w:val="none" w:sz="0" w:space="0" w:color="auto"/>
        <w:bottom w:val="none" w:sz="0" w:space="0" w:color="auto"/>
        <w:right w:val="none" w:sz="0" w:space="0" w:color="auto"/>
      </w:divBdr>
    </w:div>
    <w:div w:id="622158124">
      <w:bodyDiv w:val="1"/>
      <w:marLeft w:val="0"/>
      <w:marRight w:val="0"/>
      <w:marTop w:val="0"/>
      <w:marBottom w:val="0"/>
      <w:divBdr>
        <w:top w:val="none" w:sz="0" w:space="0" w:color="auto"/>
        <w:left w:val="none" w:sz="0" w:space="0" w:color="auto"/>
        <w:bottom w:val="none" w:sz="0" w:space="0" w:color="auto"/>
        <w:right w:val="none" w:sz="0" w:space="0" w:color="auto"/>
      </w:divBdr>
      <w:divsChild>
        <w:div w:id="1009210874">
          <w:marLeft w:val="0"/>
          <w:marRight w:val="0"/>
          <w:marTop w:val="0"/>
          <w:marBottom w:val="0"/>
          <w:divBdr>
            <w:top w:val="none" w:sz="0" w:space="0" w:color="auto"/>
            <w:left w:val="none" w:sz="0" w:space="0" w:color="auto"/>
            <w:bottom w:val="none" w:sz="0" w:space="0" w:color="auto"/>
            <w:right w:val="none" w:sz="0" w:space="0" w:color="auto"/>
          </w:divBdr>
        </w:div>
        <w:div w:id="1815413345">
          <w:marLeft w:val="0"/>
          <w:marRight w:val="0"/>
          <w:marTop w:val="0"/>
          <w:marBottom w:val="0"/>
          <w:divBdr>
            <w:top w:val="none" w:sz="0" w:space="0" w:color="auto"/>
            <w:left w:val="none" w:sz="0" w:space="0" w:color="auto"/>
            <w:bottom w:val="none" w:sz="0" w:space="0" w:color="auto"/>
            <w:right w:val="none" w:sz="0" w:space="0" w:color="auto"/>
          </w:divBdr>
        </w:div>
        <w:div w:id="923033475">
          <w:marLeft w:val="0"/>
          <w:marRight w:val="0"/>
          <w:marTop w:val="0"/>
          <w:marBottom w:val="0"/>
          <w:divBdr>
            <w:top w:val="none" w:sz="0" w:space="0" w:color="auto"/>
            <w:left w:val="none" w:sz="0" w:space="0" w:color="auto"/>
            <w:bottom w:val="none" w:sz="0" w:space="0" w:color="auto"/>
            <w:right w:val="none" w:sz="0" w:space="0" w:color="auto"/>
          </w:divBdr>
        </w:div>
        <w:div w:id="1307707241">
          <w:marLeft w:val="0"/>
          <w:marRight w:val="0"/>
          <w:marTop w:val="0"/>
          <w:marBottom w:val="0"/>
          <w:divBdr>
            <w:top w:val="none" w:sz="0" w:space="0" w:color="auto"/>
            <w:left w:val="none" w:sz="0" w:space="0" w:color="auto"/>
            <w:bottom w:val="none" w:sz="0" w:space="0" w:color="auto"/>
            <w:right w:val="none" w:sz="0" w:space="0" w:color="auto"/>
          </w:divBdr>
        </w:div>
        <w:div w:id="332684162">
          <w:marLeft w:val="0"/>
          <w:marRight w:val="0"/>
          <w:marTop w:val="0"/>
          <w:marBottom w:val="0"/>
          <w:divBdr>
            <w:top w:val="none" w:sz="0" w:space="0" w:color="auto"/>
            <w:left w:val="none" w:sz="0" w:space="0" w:color="auto"/>
            <w:bottom w:val="none" w:sz="0" w:space="0" w:color="auto"/>
            <w:right w:val="none" w:sz="0" w:space="0" w:color="auto"/>
          </w:divBdr>
        </w:div>
      </w:divsChild>
    </w:div>
    <w:div w:id="2054115786">
      <w:bodyDiv w:val="1"/>
      <w:marLeft w:val="0"/>
      <w:marRight w:val="0"/>
      <w:marTop w:val="0"/>
      <w:marBottom w:val="0"/>
      <w:divBdr>
        <w:top w:val="none" w:sz="0" w:space="0" w:color="auto"/>
        <w:left w:val="none" w:sz="0" w:space="0" w:color="auto"/>
        <w:bottom w:val="none" w:sz="0" w:space="0" w:color="auto"/>
        <w:right w:val="none" w:sz="0" w:space="0" w:color="auto"/>
      </w:divBdr>
      <w:divsChild>
        <w:div w:id="462769222">
          <w:marLeft w:val="0"/>
          <w:marRight w:val="0"/>
          <w:marTop w:val="0"/>
          <w:marBottom w:val="0"/>
          <w:divBdr>
            <w:top w:val="none" w:sz="0" w:space="0" w:color="auto"/>
            <w:left w:val="none" w:sz="0" w:space="0" w:color="auto"/>
            <w:bottom w:val="none" w:sz="0" w:space="0" w:color="auto"/>
            <w:right w:val="none" w:sz="0" w:space="0" w:color="auto"/>
          </w:divBdr>
        </w:div>
      </w:divsChild>
    </w:div>
    <w:div w:id="20930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33BCDDF1044036A69D938DF0BACF35F36766CB3C52D28F7162F86AC3C599A80F34E77D6D6E50E3FA0FE3DC33973CD0B9A7DAEC517D8w5F" TargetMode="External"/><Relationship Id="rId13" Type="http://schemas.openxmlformats.org/officeDocument/2006/relationships/hyperlink" Target="consultantplus://offline/ref=E3B33BCDDF1044036A69D938DF0BACF35F36736CB0C22D28F7162F86AC3C599A80F34E73D1D7E30562FAEE398A6D7DD2098462ACDB1787BBDDw7F" TargetMode="External"/><Relationship Id="rId18" Type="http://schemas.openxmlformats.org/officeDocument/2006/relationships/hyperlink" Target="consultantplus://offline/ref=E3B33BCDDF1044036A69D938DF0BACF35932776DB1CC7022FF4F2384AB33068D87BA4272D1D5E60160A5EB2C9B3571D0149B63B2C71585DBwB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E3B33BCDDF1044036A69C735C967F2F65D3F2A60B3C4227EA34529D1F36C5FCFC0B348269293EE046BF1BB69CB3324824ECF6EADC60B86B9CB57E968DEw9F" TargetMode="External"/><Relationship Id="rId7" Type="http://schemas.openxmlformats.org/officeDocument/2006/relationships/endnotes" Target="endnotes.xml"/><Relationship Id="rId12" Type="http://schemas.openxmlformats.org/officeDocument/2006/relationships/hyperlink" Target="consultantplus://offline/ref=E3B33BCDDF1044036A69C735C967F2F65D3F2A60B3C4237EAA4A29D1F36C5FCFC0B348269293EE046BF1BA6ACF3324824ECF6EADC60B86B9CB57E968DEw9F" TargetMode="External"/><Relationship Id="rId17" Type="http://schemas.openxmlformats.org/officeDocument/2006/relationships/hyperlink" Target="consultantplus://offline/ref=E3B33BCDDF1044036A69D938DF0BACF35A34756ABBC62D28F7162F86AC3C599A92F3167FD0D4FD046BEFB868CCD3wA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E3B33BCDDF1044036A69D938DF0BACF35F36766CB3C52D28F7162F86AC3C599A80F34E73D1D4E20169FAEE398A6D7DD2098462ACDB1787BBDDw7F" TargetMode="External"/><Relationship Id="rId20" Type="http://schemas.openxmlformats.org/officeDocument/2006/relationships/hyperlink" Target="consultantplus://offline/ref=E3B33BCDDF1044036A69D938DF0BACF35F34736FB2CF2D28F7162F86AC3C599A92F3167FD0D4FD046BEFB868CCD3wA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3B33BCDDF1044036A69C735C967F2F65D3F2A60B3C4227EA34529D1F36C5FCFC0B348269293EE046BF1BA6ACE3324824ECF6EADC60B86B9CB57E968DEw9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3B33BCDDF1044036A69C735C967F2F65D3F2A60B3C4227EA34529D1F36C5FCFC0B348269293EE046BF1BA6FC73324824ECF6EADC60B86B9CB57E968DEw9F" TargetMode="External"/><Relationship Id="rId23" Type="http://schemas.openxmlformats.org/officeDocument/2006/relationships/hyperlink" Target="consultantplus://offline/ref=E3B33BCDDF1044036A69C735C967F2F65D3F2A60B3C42778AB4329D1F36C5FCFC0B348268093B6086AF2A469CE2672D308D9w8F" TargetMode="External"/><Relationship Id="rId28" Type="http://schemas.openxmlformats.org/officeDocument/2006/relationships/header" Target="header3.xml"/><Relationship Id="rId10" Type="http://schemas.openxmlformats.org/officeDocument/2006/relationships/hyperlink" Target="consultantplus://offline/ref=E3B33BCDDF1044036A69D938DF0BACF35F36736CB0C22D28F7162F86AC3C599A80F34E73D1D7E30562FAEE398A6D7DD2098462ACDB1787BBDDw7F" TargetMode="External"/><Relationship Id="rId19" Type="http://schemas.openxmlformats.org/officeDocument/2006/relationships/hyperlink" Target="consultantplus://offline/ref=E3B33BCDDF1044036A69D938DF0BACF35932776DB1CC7022FF4F2384AB33068D87BA4272D1D6E50D60A5EB2C9B3571D0149B63B2C71585DBwB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3B33BCDDF1044036A69D938DF0BACF35F357765B4CE2D28F7162F86AC3C599A80F34E73D1D7E30562FAEE398A6D7DD2098462ACDB1787BBDDw7F" TargetMode="External"/><Relationship Id="rId14" Type="http://schemas.openxmlformats.org/officeDocument/2006/relationships/hyperlink" Target="consultantplus://offline/ref=E3B33BCDDF1044036A69C735C967F2F65D3F2A60B3C42679A34129D1F36C5FCFC0B348269293EE046BF1BA69CC3324824ECF6EADC60B86B9CB57E968DEw9F" TargetMode="External"/><Relationship Id="rId22" Type="http://schemas.openxmlformats.org/officeDocument/2006/relationships/hyperlink" Target="consultantplus://offline/ref=E3B33BCDDF1044036A69C735C967F2F65D3F2A60B3C4227EA34529D1F36C5FCFC0B348269293EE046BF1BB6BCB3324824ECF6EADC60B86B9CB57E968DEw9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3292</Words>
  <Characters>18766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 Борисовна</dc:creator>
  <cp:lastModifiedBy>Антонова Любовь Геннадиевна</cp:lastModifiedBy>
  <cp:revision>2</cp:revision>
  <cp:lastPrinted>2022-09-28T06:49:00Z</cp:lastPrinted>
  <dcterms:created xsi:type="dcterms:W3CDTF">2023-10-25T15:20:00Z</dcterms:created>
  <dcterms:modified xsi:type="dcterms:W3CDTF">2023-10-25T15:20:00Z</dcterms:modified>
</cp:coreProperties>
</file>