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DC7" w:rsidRPr="00B35E6B" w:rsidRDefault="00B35E6B" w:rsidP="00B35E6B">
      <w:pPr>
        <w:pStyle w:val="ConsPlusNonformat"/>
        <w:ind w:firstLine="6521"/>
        <w:contextualSpacing/>
        <w:rPr>
          <w:rFonts w:ascii="Times New Roman" w:hAnsi="Times New Roman" w:cs="Times New Roman"/>
          <w:sz w:val="28"/>
          <w:szCs w:val="28"/>
        </w:rPr>
      </w:pPr>
      <w:r w:rsidRPr="00B35E6B">
        <w:rPr>
          <w:rFonts w:ascii="Times New Roman" w:hAnsi="Times New Roman" w:cs="Times New Roman"/>
          <w:sz w:val="28"/>
          <w:szCs w:val="28"/>
        </w:rPr>
        <w:t>ПРОЕКТ</w:t>
      </w:r>
    </w:p>
    <w:p w:rsidR="00DF6DC7" w:rsidRPr="00B35E6B" w:rsidRDefault="00DF6DC7" w:rsidP="00B35E6B">
      <w:pPr>
        <w:pStyle w:val="ConsPlusNonformat"/>
        <w:ind w:firstLine="6521"/>
        <w:contextualSpacing/>
        <w:rPr>
          <w:rFonts w:ascii="Times New Roman" w:hAnsi="Times New Roman" w:cs="Times New Roman"/>
          <w:sz w:val="28"/>
          <w:szCs w:val="28"/>
        </w:rPr>
      </w:pPr>
    </w:p>
    <w:p w:rsidR="00DF6DC7" w:rsidRPr="00B35E6B" w:rsidRDefault="00B35E6B" w:rsidP="00B35E6B">
      <w:pPr>
        <w:widowControl w:val="0"/>
        <w:shd w:val="clear" w:color="auto" w:fill="FFFFFF"/>
        <w:spacing w:line="238" w:lineRule="auto"/>
        <w:contextualSpacing/>
        <w:jc w:val="center"/>
        <w:rPr>
          <w:b/>
          <w:bCs/>
          <w:szCs w:val="28"/>
        </w:rPr>
      </w:pPr>
      <w:r w:rsidRPr="00B35E6B">
        <w:rPr>
          <w:b/>
          <w:bCs/>
          <w:szCs w:val="28"/>
        </w:rPr>
        <w:t xml:space="preserve">ПОРЯДОК </w:t>
      </w:r>
    </w:p>
    <w:p w:rsidR="00DF6DC7" w:rsidRPr="00B35E6B" w:rsidRDefault="00B35E6B" w:rsidP="00B35E6B">
      <w:pPr>
        <w:shd w:val="clear" w:color="auto" w:fill="FFFFFF"/>
        <w:spacing w:line="238" w:lineRule="auto"/>
        <w:contextualSpacing/>
        <w:jc w:val="center"/>
        <w:rPr>
          <w:b/>
          <w:color w:val="212121"/>
          <w:szCs w:val="28"/>
        </w:rPr>
      </w:pPr>
      <w:r w:rsidRPr="00B35E6B">
        <w:rPr>
          <w:b/>
          <w:bCs/>
          <w:szCs w:val="28"/>
        </w:rPr>
        <w:t xml:space="preserve">ПРЕДОСТАВЛЕНИЯ И РАСПРЕДЕЛЕНИЯ СУБСИДИИ НА </w:t>
      </w:r>
      <w:r w:rsidRPr="00B35E6B">
        <w:rPr>
          <w:b/>
          <w:color w:val="212121"/>
          <w:szCs w:val="28"/>
        </w:rPr>
        <w:t xml:space="preserve">РАЗРАБОТКУ ПРОЕКТНОЙ ДОКУМЕНТАЦИИ НА КАПИТАЛЬНЫЙ РЕМОНТ </w:t>
      </w:r>
      <w:r w:rsidRPr="00B35E6B">
        <w:rPr>
          <w:b/>
          <w:bCs/>
          <w:szCs w:val="28"/>
        </w:rPr>
        <w:t xml:space="preserve">УНИКАЛЬНЫХ ИСКУССТВЕННЫХ ДОРОЖНЫХ СООРУЖЕНИЙ </w:t>
      </w:r>
    </w:p>
    <w:p w:rsidR="00DF6DC7" w:rsidRPr="00B35E6B" w:rsidRDefault="00DF6DC7" w:rsidP="00B35E6B">
      <w:pPr>
        <w:shd w:val="clear" w:color="auto" w:fill="FFFFFF"/>
        <w:spacing w:line="238" w:lineRule="auto"/>
        <w:contextualSpacing/>
        <w:jc w:val="center"/>
        <w:rPr>
          <w:b/>
          <w:szCs w:val="28"/>
          <w:u w:val="single"/>
        </w:rPr>
      </w:pPr>
    </w:p>
    <w:p w:rsidR="00DF6DC7" w:rsidRPr="00B35E6B" w:rsidRDefault="00DF6DC7" w:rsidP="00B35E6B">
      <w:pPr>
        <w:widowControl w:val="0"/>
        <w:shd w:val="clear" w:color="auto" w:fill="FFFFFF"/>
        <w:spacing w:line="238" w:lineRule="auto"/>
        <w:ind w:firstLine="708"/>
        <w:contextualSpacing/>
        <w:jc w:val="both"/>
        <w:rPr>
          <w:szCs w:val="28"/>
        </w:rPr>
      </w:pPr>
      <w:r w:rsidRPr="00B35E6B">
        <w:rPr>
          <w:spacing w:val="-2"/>
          <w:szCs w:val="28"/>
        </w:rPr>
        <w:t xml:space="preserve">1.  </w:t>
      </w:r>
      <w:r w:rsidRPr="00B35E6B">
        <w:rPr>
          <w:szCs w:val="28"/>
        </w:rPr>
        <w:t>Порядок предоставления и распределения</w:t>
      </w:r>
      <w:bookmarkStart w:id="0" w:name="_GoBack"/>
      <w:bookmarkEnd w:id="0"/>
      <w:r w:rsidRPr="00B35E6B">
        <w:rPr>
          <w:szCs w:val="28"/>
        </w:rPr>
        <w:t xml:space="preserve"> субсидии на разработку проектной документации на капитальный ремонт уникальных искусственных дорожных сооружений (далее – Порядок) определяет процедуру предоставления, распределения и расходования субсидии на разработку проектной документации на капитальный ремонт уникальных искусственных дорожных сооружений (далее – субсидия). </w:t>
      </w:r>
    </w:p>
    <w:p w:rsidR="00DF6DC7" w:rsidRPr="00B35E6B" w:rsidRDefault="00DF6DC7" w:rsidP="00B35E6B">
      <w:pPr>
        <w:widowControl w:val="0"/>
        <w:shd w:val="clear" w:color="auto" w:fill="FFFFFF"/>
        <w:spacing w:line="238" w:lineRule="auto"/>
        <w:ind w:firstLine="708"/>
        <w:contextualSpacing/>
        <w:jc w:val="both"/>
        <w:rPr>
          <w:szCs w:val="28"/>
        </w:rPr>
      </w:pPr>
      <w:r w:rsidRPr="00B35E6B">
        <w:rPr>
          <w:szCs w:val="28"/>
        </w:rPr>
        <w:t>2. Главным распорядителем бюджетных средств в отношении субсидии является  департамент  дорожного хозяйства Ярославской области (далее – департамент).</w:t>
      </w:r>
    </w:p>
    <w:p w:rsidR="00DF6DC7" w:rsidRPr="00B35E6B" w:rsidRDefault="00DF6DC7" w:rsidP="00B35E6B">
      <w:pPr>
        <w:widowControl w:val="0"/>
        <w:shd w:val="clear" w:color="auto" w:fill="FFFFFF"/>
        <w:spacing w:line="238" w:lineRule="auto"/>
        <w:ind w:firstLine="708"/>
        <w:contextualSpacing/>
        <w:jc w:val="both"/>
        <w:rPr>
          <w:szCs w:val="28"/>
        </w:rPr>
      </w:pPr>
      <w:r w:rsidRPr="00B35E6B">
        <w:rPr>
          <w:szCs w:val="28"/>
        </w:rPr>
        <w:t xml:space="preserve">3. Субсидия предоставляется бюджетам муниципальных образований области в целях оказания финансовой поддержки исполнения расходных обязательств, возникающих при выполнении органами местного самоуправления муниципальных образований области полномочий по вопросам дорожной деятельности в части разработки проектной документации на капитальный ремонт уникальных искусственных дорожных сооружений. </w:t>
      </w:r>
    </w:p>
    <w:p w:rsidR="00DF6DC7" w:rsidRPr="00B35E6B" w:rsidRDefault="00DF6DC7" w:rsidP="00B35E6B">
      <w:pPr>
        <w:widowControl w:val="0"/>
        <w:shd w:val="clear" w:color="auto" w:fill="FFFFFF"/>
        <w:spacing w:line="238" w:lineRule="auto"/>
        <w:ind w:firstLine="708"/>
        <w:contextualSpacing/>
        <w:jc w:val="both"/>
        <w:rPr>
          <w:szCs w:val="28"/>
        </w:rPr>
      </w:pPr>
      <w:r w:rsidRPr="00B35E6B">
        <w:rPr>
          <w:szCs w:val="28"/>
        </w:rPr>
        <w:t xml:space="preserve">4. Расходы областного бюджета на предоставление субсидии осуществляются за счет бюджетных ассигнований дорожного фонда Ярославской области в </w:t>
      </w:r>
      <w:r w:rsidRPr="00B35E6B">
        <w:rPr>
          <w:szCs w:val="28"/>
          <w:lang w:eastAsia="en-US"/>
        </w:rPr>
        <w:t xml:space="preserve">рамках ведомственной целевой программы «Сохранность региональных автомобильных дорог Ярославской области» на 2021 </w:t>
      </w:r>
      <w:r w:rsidRPr="00B35E6B">
        <w:rPr>
          <w:spacing w:val="-4"/>
          <w:szCs w:val="28"/>
        </w:rPr>
        <w:t>– 2024 годы, являющейся</w:t>
      </w:r>
      <w:r w:rsidRPr="00B35E6B">
        <w:rPr>
          <w:szCs w:val="28"/>
        </w:rPr>
        <w:t xml:space="preserve"> подпрограммой </w:t>
      </w:r>
      <w:r w:rsidRPr="00B35E6B">
        <w:rPr>
          <w:szCs w:val="28"/>
          <w:lang w:eastAsia="en-US"/>
        </w:rPr>
        <w:t xml:space="preserve">государственной программы Ярославской области «Развитие дорожного хозяйства в Ярославской области» на 2021 </w:t>
      </w:r>
      <w:r w:rsidRPr="00B35E6B">
        <w:rPr>
          <w:spacing w:val="-4"/>
          <w:szCs w:val="28"/>
        </w:rPr>
        <w:t>– 2024 годы</w:t>
      </w:r>
      <w:r w:rsidRPr="00B35E6B">
        <w:rPr>
          <w:szCs w:val="28"/>
          <w:lang w:eastAsia="en-US"/>
        </w:rPr>
        <w:t xml:space="preserve"> (далее – ведомственная целевая программа).</w:t>
      </w:r>
    </w:p>
    <w:p w:rsidR="00DF6DC7" w:rsidRPr="00B35E6B" w:rsidRDefault="00DF6DC7" w:rsidP="00B35E6B">
      <w:pPr>
        <w:shd w:val="clear" w:color="auto" w:fill="FFFFFF"/>
        <w:spacing w:line="238" w:lineRule="auto"/>
        <w:ind w:firstLine="709"/>
        <w:contextualSpacing/>
        <w:jc w:val="both"/>
        <w:rPr>
          <w:szCs w:val="28"/>
        </w:rPr>
      </w:pPr>
      <w:r w:rsidRPr="00B35E6B">
        <w:rPr>
          <w:szCs w:val="28"/>
        </w:rPr>
        <w:t xml:space="preserve">5. Критерием отбора муниципальных образований области для предоставления субсидии является наличие в собственности муниципального образования области уникального искусственного дорожного сооружения, находящегося в аварийном или предаварийном состоянии, для </w:t>
      </w:r>
      <w:proofErr w:type="gramStart"/>
      <w:r w:rsidRPr="00B35E6B">
        <w:rPr>
          <w:szCs w:val="28"/>
        </w:rPr>
        <w:t>приведения</w:t>
      </w:r>
      <w:proofErr w:type="gramEnd"/>
      <w:r w:rsidRPr="00B35E6B">
        <w:rPr>
          <w:szCs w:val="28"/>
        </w:rPr>
        <w:t xml:space="preserve"> в нормативное состояние которого требуется разработка проектной документации на капитальный ремонт, реализация которого планируется с привлечением средств федерального бюджета. </w:t>
      </w:r>
    </w:p>
    <w:p w:rsidR="00DF6DC7" w:rsidRPr="00B35E6B" w:rsidRDefault="00DF6DC7" w:rsidP="00B35E6B">
      <w:pPr>
        <w:shd w:val="clear" w:color="auto" w:fill="FFFFFF"/>
        <w:spacing w:line="238" w:lineRule="auto"/>
        <w:ind w:firstLine="708"/>
        <w:contextualSpacing/>
        <w:jc w:val="both"/>
        <w:rPr>
          <w:szCs w:val="28"/>
        </w:rPr>
      </w:pPr>
      <w:r w:rsidRPr="00B35E6B">
        <w:rPr>
          <w:szCs w:val="28"/>
        </w:rPr>
        <w:t>В Порядке под уникальным искусственным дорожным сооружением понимается реализуемый (планируемый к реализации) на автомобильных дорогах общего пользования местного значения объект капитального ремонта, в техническом паспорте которого предусмотрена хотя бы одна из следующих характеристик:</w:t>
      </w:r>
    </w:p>
    <w:p w:rsidR="00DF6DC7" w:rsidRPr="00B35E6B" w:rsidRDefault="00DF6DC7" w:rsidP="00B35E6B">
      <w:pPr>
        <w:shd w:val="clear" w:color="auto" w:fill="FFFFFF"/>
        <w:spacing w:line="238" w:lineRule="auto"/>
        <w:ind w:firstLine="708"/>
        <w:contextualSpacing/>
        <w:jc w:val="both"/>
        <w:rPr>
          <w:szCs w:val="28"/>
        </w:rPr>
      </w:pPr>
      <w:r w:rsidRPr="00B35E6B">
        <w:rPr>
          <w:szCs w:val="28"/>
        </w:rPr>
        <w:t>- общая длина составляет более 100 метров;</w:t>
      </w:r>
    </w:p>
    <w:p w:rsidR="00DF6DC7" w:rsidRPr="00B35E6B" w:rsidRDefault="00DF6DC7" w:rsidP="00B35E6B">
      <w:pPr>
        <w:shd w:val="clear" w:color="auto" w:fill="FFFFFF"/>
        <w:spacing w:line="238" w:lineRule="auto"/>
        <w:ind w:firstLine="708"/>
        <w:contextualSpacing/>
        <w:jc w:val="both"/>
        <w:rPr>
          <w:szCs w:val="28"/>
        </w:rPr>
      </w:pPr>
      <w:r w:rsidRPr="00B35E6B">
        <w:rPr>
          <w:szCs w:val="28"/>
        </w:rPr>
        <w:t>- длина пролета составляет более 60 метров.</w:t>
      </w:r>
    </w:p>
    <w:p w:rsidR="00DF6DC7" w:rsidRPr="00B35E6B" w:rsidRDefault="00DF6DC7" w:rsidP="00B35E6B">
      <w:pPr>
        <w:ind w:firstLine="709"/>
        <w:contextualSpacing/>
        <w:jc w:val="both"/>
        <w:rPr>
          <w:szCs w:val="28"/>
        </w:rPr>
      </w:pPr>
      <w:proofErr w:type="gramStart"/>
      <w:r w:rsidRPr="00B35E6B">
        <w:rPr>
          <w:szCs w:val="28"/>
        </w:rPr>
        <w:lastRenderedPageBreak/>
        <w:t>К категории уникальных искусственных дорожных сооружений, находящихся в предаварийном состоянии, относятся сооружения, имеющие в основных конструкциях опасные дефекты, влияющие на грузоподъемность, безопасность и долговечность, по которым безопасный пропуск автомобилей не может быть гарантирован введением различных ограничений движения путем установки дорожных знаков и требуется принудительное регулирование режима эксплуатации, в том числе запрещение движения по полосам и (или) введение реверсивного движения.</w:t>
      </w:r>
      <w:proofErr w:type="gramEnd"/>
    </w:p>
    <w:p w:rsidR="00DF6DC7" w:rsidRPr="00B35E6B" w:rsidRDefault="00DF6DC7" w:rsidP="00B35E6B">
      <w:pPr>
        <w:ind w:firstLine="709"/>
        <w:contextualSpacing/>
        <w:jc w:val="both"/>
        <w:rPr>
          <w:szCs w:val="28"/>
        </w:rPr>
      </w:pPr>
      <w:r w:rsidRPr="00B35E6B">
        <w:rPr>
          <w:szCs w:val="28"/>
        </w:rPr>
        <w:t>К категории аварийных уникальных искусственных дорожных сооружений относятся сооружения, имеющие признаки аварийного состояния, свидетельствующие о возможности потери устойчивости, разрушения или обрушения конструкций или части конструкции, или имеющие в основных несущих конструкциях критические дефекты, исключающие дальнейшую эксплуатацию сооружения до их устранения.</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xml:space="preserve">6. Перечень работ по капитальному ремонту уникальных искусственных дорожных сооружений устанавливается в соответствии с </w:t>
      </w:r>
      <w:hyperlink r:id="rId7" w:history="1">
        <w:r w:rsidRPr="00B35E6B">
          <w:rPr>
            <w:rFonts w:ascii="Times New Roman" w:hAnsi="Times New Roman" w:cs="Times New Roman"/>
            <w:sz w:val="28"/>
            <w:szCs w:val="28"/>
          </w:rPr>
          <w:t>приказом</w:t>
        </w:r>
      </w:hyperlink>
      <w:r w:rsidRPr="00B35E6B">
        <w:rPr>
          <w:rFonts w:ascii="Times New Roman" w:hAnsi="Times New Roman" w:cs="Times New Roman"/>
          <w:sz w:val="28"/>
          <w:szCs w:val="28"/>
        </w:rPr>
        <w:t xml:space="preserve">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7. Условия предоставления и расходования субсидии:</w:t>
      </w:r>
    </w:p>
    <w:p w:rsidR="00DF6DC7" w:rsidRPr="00B35E6B" w:rsidRDefault="00DF6DC7" w:rsidP="00B35E6B">
      <w:pPr>
        <w:pStyle w:val="ConsPlusNormal"/>
        <w:ind w:firstLine="709"/>
        <w:contextualSpacing/>
        <w:jc w:val="both"/>
        <w:rPr>
          <w:rFonts w:ascii="Times New Roman" w:hAnsi="Times New Roman" w:cs="Times New Roman"/>
          <w:sz w:val="28"/>
          <w:szCs w:val="28"/>
          <w:lang w:eastAsia="en-US"/>
        </w:rPr>
      </w:pPr>
      <w:r w:rsidRPr="00B35E6B">
        <w:rPr>
          <w:rFonts w:ascii="Times New Roman" w:hAnsi="Times New Roman" w:cs="Times New Roman"/>
          <w:sz w:val="28"/>
          <w:szCs w:val="28"/>
          <w:lang w:eastAsia="en-US"/>
        </w:rPr>
        <w:t xml:space="preserve">- наличие муниципальной программы, на софинансирование мероприятий которой предоставляется субсидия, направленной на достижение целей ведомственной целевой программы, за исключением субсидий, предоставляемых органам местного самоуправления на погашение кредиторской задолженности по обязательствам отчетных периодов, направляемых на осуществление мероприятий ведомственной целевой программы, срок реализации которых завершен в отчетных периодах; </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наличие в бюджете муниципального образования области (сводной бюджетной росписи местного бюджета) бюджетных ассигнований на исполнение расходных обязательств муниципального образования области, в целях софинансирования которых предоставляется субсидия, в объеме, необходимом для исполнения таких обязательств, включая размер планируемой к предоставлению из областного бюджета субсидии;</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xml:space="preserve">- заключение соглашения о предоставлении субсидии (далее </w:t>
      </w:r>
      <w:r w:rsidRPr="00B35E6B">
        <w:rPr>
          <w:rFonts w:ascii="Times New Roman" w:hAnsi="Times New Roman" w:cs="Times New Roman"/>
          <w:spacing w:val="-4"/>
          <w:sz w:val="28"/>
          <w:szCs w:val="28"/>
        </w:rPr>
        <w:t>– соглашение)</w:t>
      </w:r>
      <w:r w:rsidRPr="00B35E6B">
        <w:rPr>
          <w:rFonts w:ascii="Times New Roman" w:hAnsi="Times New Roman" w:cs="Times New Roman"/>
          <w:sz w:val="28"/>
          <w:szCs w:val="28"/>
        </w:rPr>
        <w:t>, предусматривающего обязательства муниципального образования области по исполнению расходных обязательств, в целях софинансирования которых предоставляется субсидия, а также ответственность за невыполнение предусмотренных соглашением обязательств;</w:t>
      </w:r>
    </w:p>
    <w:p w:rsidR="00DF6DC7" w:rsidRPr="00B35E6B" w:rsidRDefault="00DF6DC7" w:rsidP="00B35E6B">
      <w:pPr>
        <w:pStyle w:val="ConsPlusNormal"/>
        <w:widowContro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xml:space="preserve">- возврат муниципальным образованием области в доход областного бюджета средств, источником финансового обеспечения которых является субсидия, при невыполнении муниципальным образованием области предусмотренных соглашением обязательств по достижению результатов использования субсидии, по соблюдению уровня софинансирования расходных обязательств из местного бюджета; </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lastRenderedPageBreak/>
        <w:t>- централизация закупок товаров, работ, услуг в соответствии с постановлением Правительства области от 27.04.2016 № 501-п «Об особенностях осуществления закупок, финансируемых за счет бюджета Ярославской области».</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xml:space="preserve">8. Соглашение заключается между департаментом и соответствующим муниципальным образованием области в срок до 15 февраля текущего финансового года. В случае если бюджетные ассигнования </w:t>
      </w:r>
      <w:proofErr w:type="gramStart"/>
      <w:r w:rsidRPr="00B35E6B">
        <w:rPr>
          <w:rFonts w:ascii="Times New Roman" w:hAnsi="Times New Roman" w:cs="Times New Roman"/>
          <w:sz w:val="28"/>
          <w:szCs w:val="28"/>
        </w:rPr>
        <w:t>на предоставление субсидии предусмотрены в соответствии с законом о внесении изменений в закон</w:t>
      </w:r>
      <w:proofErr w:type="gramEnd"/>
      <w:r w:rsidRPr="00B35E6B">
        <w:rPr>
          <w:rFonts w:ascii="Times New Roman" w:hAnsi="Times New Roman" w:cs="Times New Roman"/>
          <w:sz w:val="28"/>
          <w:szCs w:val="28"/>
        </w:rPr>
        <w:t xml:space="preserve"> Ярославской области об областном бюджете на очередной финансовый год и на плановый период, соглашение заключается в срок не позднее 30 дней после дня вступления в силу указанного закона.</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Соглашение заключается по типовой форме соглашения о предоставлении субсидии из областного бюджета бюджету муниципального образования области, утвержденной приказом департамента финансов Ярославской области от 17.03.2020 № 15н «Об утверждении типовой формы соглашения о предоставлении субсидии из областного бюджета бюджету муниципального образования области» (далее  – типовая форма соглашения).</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9. Для заключения соглашения в департамент представляются следующие документы:</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копия утвержденной муниципальной программы, на софинансирование мероприятий которой предоставляется субсидия;</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выписка из решения о местном бюджете (сводной бюджетной росписи) соответствующего муниципального образования области,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в объеме, необходимом для его исполнения, в рамках соответствующей муниципальной программы;</w:t>
      </w:r>
    </w:p>
    <w:p w:rsidR="00DF6DC7" w:rsidRPr="00B35E6B" w:rsidRDefault="00DF6DC7" w:rsidP="00B35E6B">
      <w:pPr>
        <w:pStyle w:val="ConsPlusNormal"/>
        <w:tabs>
          <w:tab w:val="left" w:pos="709"/>
        </w:tabs>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технический отчет об обследовании уникального искусственного дорожного сооружения, содержащий обоснование аварийного или предаварийного состояния уникального искусственного дорожного сооружения, а также обоснование определения вида необходимых для выполнения работ по приведению его в нормативное техническое состояние;</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xml:space="preserve">- копии муниципальных контрактов (договоров) на выполнение работ, финансирование которых осуществляется с привлечением субсидии, – при наличии на момент </w:t>
      </w:r>
      <w:proofErr w:type="gramStart"/>
      <w:r w:rsidRPr="00B35E6B">
        <w:rPr>
          <w:rFonts w:ascii="Times New Roman" w:hAnsi="Times New Roman" w:cs="Times New Roman"/>
          <w:sz w:val="28"/>
          <w:szCs w:val="28"/>
        </w:rPr>
        <w:t>заключения соглашения результатов проведения торгов</w:t>
      </w:r>
      <w:proofErr w:type="gramEnd"/>
      <w:r w:rsidRPr="00B35E6B">
        <w:rPr>
          <w:rFonts w:ascii="Times New Roman" w:hAnsi="Times New Roman" w:cs="Times New Roman"/>
          <w:sz w:val="28"/>
          <w:szCs w:val="28"/>
        </w:rPr>
        <w:t xml:space="preserve"> на выполнение работ.</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10. Результатом использования субсидии, значение которого устанавливается соглашением, является количество разработанных и утвержденных положительными заключениями государственной экспертизы проектов (штук).</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xml:space="preserve">11. </w:t>
      </w:r>
      <w:proofErr w:type="gramStart"/>
      <w:r w:rsidRPr="00B35E6B">
        <w:rPr>
          <w:rFonts w:ascii="Times New Roman" w:hAnsi="Times New Roman"/>
          <w:sz w:val="28"/>
          <w:szCs w:val="28"/>
          <w:lang w:eastAsia="en-US"/>
        </w:rPr>
        <w:t xml:space="preserve">Уровень софинансирования расходного обязательства соответствующего муниципального образования области на 2022 год и на плановый период 2023 и 2024 годов, выраженный в процентах от объема бюджетных ассигнований на исполнение расходного обязательства, должен соответствовать предельному уровню софинансирования, утвержденному </w:t>
      </w:r>
      <w:r w:rsidRPr="00B35E6B">
        <w:rPr>
          <w:rFonts w:ascii="Times New Roman" w:hAnsi="Times New Roman"/>
          <w:sz w:val="28"/>
          <w:szCs w:val="28"/>
          <w:lang w:eastAsia="en-US"/>
        </w:rPr>
        <w:lastRenderedPageBreak/>
        <w:t xml:space="preserve">постановлением Правительства области от </w:t>
      </w:r>
      <w:r w:rsidRPr="00B35E6B">
        <w:rPr>
          <w:rFonts w:ascii="Times New Roman" w:hAnsi="Times New Roman"/>
          <w:sz w:val="28"/>
          <w:szCs w:val="28"/>
        </w:rPr>
        <w:t xml:space="preserve">12.10.2021 № </w:t>
      </w:r>
      <w:r w:rsidRPr="00B35E6B">
        <w:rPr>
          <w:rFonts w:ascii="Times New Roman" w:hAnsi="Times New Roman"/>
          <w:iCs/>
          <w:sz w:val="28"/>
          <w:szCs w:val="28"/>
        </w:rPr>
        <w:t>725-п</w:t>
      </w:r>
      <w:r w:rsidRPr="00B35E6B">
        <w:rPr>
          <w:rFonts w:ascii="Times New Roman" w:hAnsi="Times New Roman"/>
          <w:sz w:val="28"/>
          <w:szCs w:val="28"/>
        </w:rPr>
        <w:t xml:space="preserve"> </w:t>
      </w:r>
      <w:r w:rsidRPr="00B35E6B">
        <w:rPr>
          <w:rFonts w:ascii="Times New Roman" w:hAnsi="Times New Roman" w:cs="Times New Roman"/>
          <w:sz w:val="28"/>
          <w:szCs w:val="28"/>
        </w:rPr>
        <w:t>«</w:t>
      </w:r>
      <w:r w:rsidRPr="00B35E6B">
        <w:rPr>
          <w:rFonts w:ascii="Times New Roman" w:hAnsi="Times New Roman"/>
          <w:sz w:val="28"/>
          <w:szCs w:val="28"/>
        </w:rPr>
        <w:t xml:space="preserve">О предельном уровне софинансирования объема </w:t>
      </w:r>
      <w:r w:rsidRPr="00B35E6B">
        <w:rPr>
          <w:rFonts w:ascii="Times New Roman" w:hAnsi="Times New Roman"/>
          <w:spacing w:val="-2"/>
          <w:sz w:val="28"/>
          <w:szCs w:val="28"/>
        </w:rPr>
        <w:t>расходного обязательства муниципального образования из областного бюджета на 2022 год и на плановый</w:t>
      </w:r>
      <w:proofErr w:type="gramEnd"/>
      <w:r w:rsidRPr="00B35E6B">
        <w:rPr>
          <w:rFonts w:ascii="Times New Roman" w:hAnsi="Times New Roman"/>
          <w:spacing w:val="-2"/>
          <w:sz w:val="28"/>
          <w:szCs w:val="28"/>
        </w:rPr>
        <w:t xml:space="preserve"> период 2023 и 2024 годов</w:t>
      </w:r>
      <w:r w:rsidRPr="00B35E6B">
        <w:rPr>
          <w:rFonts w:ascii="Times New Roman" w:hAnsi="Times New Roman" w:cs="Times New Roman"/>
          <w:spacing w:val="-2"/>
          <w:sz w:val="28"/>
          <w:szCs w:val="28"/>
        </w:rPr>
        <w:t>»</w:t>
      </w:r>
      <w:r w:rsidRPr="00B35E6B">
        <w:rPr>
          <w:rFonts w:ascii="Times New Roman" w:hAnsi="Times New Roman"/>
          <w:spacing w:val="-2"/>
          <w:sz w:val="28"/>
          <w:szCs w:val="28"/>
        </w:rPr>
        <w:t>.</w:t>
      </w:r>
    </w:p>
    <w:p w:rsidR="00DF6DC7" w:rsidRPr="00B35E6B" w:rsidRDefault="00DF6DC7" w:rsidP="00B35E6B">
      <w:pPr>
        <w:pStyle w:val="ConsPlusNormal"/>
        <w:widowContro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В случае уменьшения общего объема бюджетных ассигнований в местном бюджете на финансовое обеспечение расходных обязательств муниципального образования области, в целях софинансирования которых предоставляется субсидия,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текущем финансовом году в местном бюджете.</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В случае увеличения в текущем финансовом году общего объема бюджетных ассигнований, предусматриваемых в местном бюджете на финансовое обеспечение расходных обязательств муниципального образования области, в целях софинансирования которых предоставляется субсидия, размер субсидии не подлежит изменению.</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12. Внесение в соглашение изменений, предусматривающих ухудшение значения результата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если выполнение условий предоставления субсидии оказалось невозможным вследствие обстоятельств непреодолимой силы;</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в случае изменения значений целевых показателей и индикаторов ведомственной целевой программы;</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в случае существенного (более чем на 20 процентов) сокращения размера субсидии.</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13. Перечисление субсидий осуществляется на счет Управления Федерального казначейства по Ярославской области, открытый для учета поступлений и их распределения между бюджетами бюджетной системы Российской Федерации, для последующего перечисления на счета местных бюджетов.</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Перечисление субсидий осуществляется в пределах кассового плана областного бюджета, утвержденного на соответствующий квартал.</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14. Для перечисления субсидии в департамент в срок до 20 декабря текущего финансового года представляются:</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заявка на перечисление субсидии, оформленная в произвольной форме;</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копии муниципальных контрактов (договоров) на выполнение работ, финансирование которых осуществляется с привлечением субсидии, – при проведении торгов на выполнение работ после заключения соглашения;</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акт сдачи-приемки выполненных работ, подписанный муниципальным заказчиком;</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xml:space="preserve">- копии платежных документов, подтверждающих перечисление доли софинансирования расходных обязательств муниципального образования </w:t>
      </w:r>
      <w:r w:rsidRPr="00B35E6B">
        <w:rPr>
          <w:rFonts w:ascii="Times New Roman" w:hAnsi="Times New Roman" w:cs="Times New Roman"/>
          <w:sz w:val="28"/>
          <w:szCs w:val="28"/>
        </w:rPr>
        <w:lastRenderedPageBreak/>
        <w:t>области из местного бюджета.</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xml:space="preserve">Департамент в день представления документов, указанных в абзацах втором – пятом данного пункта, регистрирует их, в течение 5 рабочих дней </w:t>
      </w:r>
      <w:proofErr w:type="gramStart"/>
      <w:r w:rsidRPr="00B35E6B">
        <w:rPr>
          <w:rFonts w:ascii="Times New Roman" w:hAnsi="Times New Roman" w:cs="Times New Roman"/>
          <w:sz w:val="28"/>
          <w:szCs w:val="28"/>
        </w:rPr>
        <w:t>с даты регистрации</w:t>
      </w:r>
      <w:proofErr w:type="gramEnd"/>
      <w:r w:rsidRPr="00B35E6B">
        <w:rPr>
          <w:rFonts w:ascii="Times New Roman" w:hAnsi="Times New Roman" w:cs="Times New Roman"/>
          <w:sz w:val="28"/>
          <w:szCs w:val="28"/>
        </w:rPr>
        <w:t xml:space="preserve"> документов рассматривает их на соответствие условиям предоставления и расходования субсидии. В случае несоответствия представленных документов условиям предоставления и расходования субсидии департамент в течение 7 рабочих дней </w:t>
      </w:r>
      <w:proofErr w:type="gramStart"/>
      <w:r w:rsidRPr="00B35E6B">
        <w:rPr>
          <w:rFonts w:ascii="Times New Roman" w:hAnsi="Times New Roman" w:cs="Times New Roman"/>
          <w:sz w:val="28"/>
          <w:szCs w:val="28"/>
        </w:rPr>
        <w:t>с даты регистрации</w:t>
      </w:r>
      <w:proofErr w:type="gramEnd"/>
      <w:r w:rsidRPr="00B35E6B">
        <w:rPr>
          <w:rFonts w:ascii="Times New Roman" w:hAnsi="Times New Roman" w:cs="Times New Roman"/>
          <w:sz w:val="28"/>
          <w:szCs w:val="28"/>
        </w:rPr>
        <w:t xml:space="preserve"> документов принимает решение об их возврате и направляет соответствующее уведомление в органы местного самоуправления соответствующего муниципального образования области с указанием выявленных несоответствий. </w:t>
      </w:r>
    </w:p>
    <w:p w:rsidR="00DF6DC7" w:rsidRPr="00B35E6B" w:rsidRDefault="00DF6DC7" w:rsidP="00B35E6B">
      <w:pPr>
        <w:pStyle w:val="ConsPlusNormal"/>
        <w:tabs>
          <w:tab w:val="left" w:pos="709"/>
        </w:tabs>
        <w:ind w:firstLine="709"/>
        <w:contextualSpacing/>
        <w:jc w:val="both"/>
        <w:rPr>
          <w:rFonts w:ascii="Times New Roman" w:hAnsi="Times New Roman" w:cs="Times New Roman"/>
          <w:sz w:val="28"/>
          <w:szCs w:val="28"/>
        </w:rPr>
      </w:pPr>
      <w:proofErr w:type="gramStart"/>
      <w:r w:rsidRPr="00B35E6B">
        <w:rPr>
          <w:rFonts w:ascii="Times New Roman" w:hAnsi="Times New Roman" w:cs="Times New Roman"/>
          <w:sz w:val="28"/>
          <w:szCs w:val="28"/>
        </w:rPr>
        <w:t>Органы местного самоуправления соответствующего муниципального образования области в течение 5 рабочих дней с даты получения соответствующего уведомления, но не позднее 20 декабря текущего финансового года устраняют выявленные департаментом несоответствия в документах, указанных в абзацах втором – пятом данного пункта, и представляют их в департамент для повторного рассмотрения в порядке, указанном в абзаце шестом данного пункта.</w:t>
      </w:r>
      <w:proofErr w:type="gramEnd"/>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15. Муниципальные образования области представляют в департамент:</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отчет о расходах, в целях софинансирования которых предоставляется субсидия, по форме согласно приложению 5 к типовой форме соглашения – не позднее 10 числа месяца, следующего за кварталом, в котором была получена субсидия;</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отчет о достижении значений результатов использования субсидии по состоянию на 31 декабря отчетного финансового года, в котором была получена субсидия, по форме согласно приложению 6 к типовой форме соглашения – не позднее 15 января года, следующего за отчетным финансовым годом.</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xml:space="preserve">16. Оценка результативности и эффективности использования субсидии осуществляется департаментом и муниципальным образованием области на основании комплексного показателя эффективности использования субсидии, рассчитанного в соответствии с </w:t>
      </w:r>
      <w:hyperlink w:anchor="P591" w:history="1">
        <w:r w:rsidRPr="00B35E6B">
          <w:rPr>
            <w:rFonts w:ascii="Times New Roman" w:hAnsi="Times New Roman" w:cs="Times New Roman"/>
            <w:sz w:val="28"/>
            <w:szCs w:val="28"/>
          </w:rPr>
          <w:t>Порядком</w:t>
        </w:r>
      </w:hyperlink>
      <w:r w:rsidRPr="00B35E6B">
        <w:rPr>
          <w:rFonts w:ascii="Times New Roman" w:hAnsi="Times New Roman" w:cs="Times New Roman"/>
          <w:sz w:val="28"/>
          <w:szCs w:val="28"/>
        </w:rPr>
        <w:t xml:space="preserve"> оценки результативности и эффективности использования субсидии, приведенным в приложении к Порядку.</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xml:space="preserve">17. </w:t>
      </w:r>
      <w:proofErr w:type="gramStart"/>
      <w:r w:rsidRPr="00B35E6B">
        <w:rPr>
          <w:rFonts w:ascii="Times New Roman" w:hAnsi="Times New Roman" w:cs="Times New Roman"/>
          <w:sz w:val="28"/>
          <w:szCs w:val="28"/>
        </w:rPr>
        <w:t>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 предусмотренные соглашением, и в срок до 15 января года, следующего за годом предоставления субсидии, указанные нарушения не устранены, муниципальное образование области в срок до 01 апреля года, следующего за годом предоставления субсидии, должно вернуть в доход областного бюджета средства в объеме</w:t>
      </w:r>
      <w:proofErr w:type="gramEnd"/>
      <w:r w:rsidRPr="00B35E6B">
        <w:rPr>
          <w:rFonts w:ascii="Times New Roman" w:hAnsi="Times New Roman" w:cs="Times New Roman"/>
          <w:sz w:val="28"/>
          <w:szCs w:val="28"/>
        </w:rPr>
        <w:t xml:space="preserve"> (</w:t>
      </w:r>
      <w:proofErr w:type="spellStart"/>
      <w:proofErr w:type="gramStart"/>
      <w:r w:rsidRPr="00B35E6B">
        <w:rPr>
          <w:rFonts w:ascii="Times New Roman" w:hAnsi="Times New Roman" w:cs="Times New Roman"/>
          <w:sz w:val="28"/>
          <w:szCs w:val="28"/>
        </w:rPr>
        <w:t>V</w:t>
      </w:r>
      <w:r w:rsidRPr="00B35E6B">
        <w:rPr>
          <w:rFonts w:ascii="Times New Roman" w:hAnsi="Times New Roman" w:cs="Times New Roman"/>
          <w:sz w:val="28"/>
          <w:szCs w:val="28"/>
          <w:vertAlign w:val="subscript"/>
        </w:rPr>
        <w:t>возврата</w:t>
      </w:r>
      <w:proofErr w:type="spellEnd"/>
      <w:r w:rsidRPr="00B35E6B">
        <w:rPr>
          <w:rFonts w:ascii="Times New Roman" w:hAnsi="Times New Roman" w:cs="Times New Roman"/>
          <w:sz w:val="28"/>
          <w:szCs w:val="28"/>
        </w:rPr>
        <w:t>), определяемом по формуле:</w:t>
      </w:r>
      <w:proofErr w:type="gramEnd"/>
    </w:p>
    <w:p w:rsidR="00DF6DC7" w:rsidRPr="00B35E6B" w:rsidRDefault="00DF6DC7" w:rsidP="00B35E6B">
      <w:pPr>
        <w:pStyle w:val="ConsPlusNormal"/>
        <w:ind w:firstLine="709"/>
        <w:contextualSpacing/>
        <w:jc w:val="both"/>
        <w:rPr>
          <w:rFonts w:ascii="Times New Roman" w:hAnsi="Times New Roman" w:cs="Times New Roman"/>
          <w:sz w:val="28"/>
          <w:szCs w:val="28"/>
        </w:rPr>
      </w:pPr>
    </w:p>
    <w:p w:rsidR="00DF6DC7" w:rsidRPr="00B35E6B" w:rsidRDefault="00DF6DC7" w:rsidP="00B35E6B">
      <w:pPr>
        <w:pStyle w:val="ConsPlusNormal"/>
        <w:keepNext/>
        <w:contextualSpacing/>
        <w:jc w:val="center"/>
        <w:rPr>
          <w:rFonts w:ascii="Times New Roman" w:hAnsi="Times New Roman" w:cs="Times New Roman"/>
          <w:sz w:val="28"/>
          <w:szCs w:val="28"/>
        </w:rPr>
      </w:pPr>
      <w:proofErr w:type="spellStart"/>
      <w:proofErr w:type="gramStart"/>
      <w:r w:rsidRPr="00B35E6B">
        <w:rPr>
          <w:rFonts w:ascii="Times New Roman" w:hAnsi="Times New Roman" w:cs="Times New Roman"/>
          <w:sz w:val="28"/>
          <w:szCs w:val="28"/>
        </w:rPr>
        <w:t>V</w:t>
      </w:r>
      <w:proofErr w:type="gramEnd"/>
      <w:r w:rsidRPr="00B35E6B">
        <w:rPr>
          <w:rFonts w:ascii="Times New Roman" w:hAnsi="Times New Roman" w:cs="Times New Roman"/>
          <w:sz w:val="28"/>
          <w:szCs w:val="28"/>
          <w:vertAlign w:val="subscript"/>
        </w:rPr>
        <w:t>возврата</w:t>
      </w:r>
      <w:proofErr w:type="spellEnd"/>
      <w:r w:rsidRPr="00B35E6B">
        <w:rPr>
          <w:rFonts w:ascii="Times New Roman" w:hAnsi="Times New Roman" w:cs="Times New Roman"/>
          <w:sz w:val="28"/>
          <w:szCs w:val="28"/>
        </w:rPr>
        <w:t xml:space="preserve"> = (</w:t>
      </w:r>
      <w:proofErr w:type="spellStart"/>
      <w:r w:rsidRPr="00B35E6B">
        <w:rPr>
          <w:rFonts w:ascii="Times New Roman" w:hAnsi="Times New Roman" w:cs="Times New Roman"/>
          <w:sz w:val="28"/>
          <w:szCs w:val="28"/>
        </w:rPr>
        <w:t>V</w:t>
      </w:r>
      <w:r w:rsidRPr="00B35E6B">
        <w:rPr>
          <w:rFonts w:ascii="Times New Roman" w:hAnsi="Times New Roman" w:cs="Times New Roman"/>
          <w:sz w:val="28"/>
          <w:szCs w:val="28"/>
          <w:vertAlign w:val="subscript"/>
        </w:rPr>
        <w:t>субсидии</w:t>
      </w:r>
      <w:proofErr w:type="spellEnd"/>
      <w:r w:rsidRPr="00B35E6B">
        <w:rPr>
          <w:rFonts w:ascii="Times New Roman" w:hAnsi="Times New Roman" w:cs="Times New Roman"/>
          <w:sz w:val="28"/>
          <w:szCs w:val="28"/>
        </w:rPr>
        <w:t xml:space="preserve"> × k × m / n) × 0,1,</w:t>
      </w:r>
    </w:p>
    <w:p w:rsidR="00DF6DC7" w:rsidRPr="00B35E6B" w:rsidRDefault="00DF6DC7" w:rsidP="00B35E6B">
      <w:pPr>
        <w:pStyle w:val="ConsPlusNormal"/>
        <w:contextualSpacing/>
        <w:jc w:val="both"/>
        <w:rPr>
          <w:rFonts w:ascii="Times New Roman" w:hAnsi="Times New Roman" w:cs="Times New Roman"/>
          <w:sz w:val="28"/>
          <w:szCs w:val="28"/>
        </w:rPr>
      </w:pPr>
      <w:r w:rsidRPr="00B35E6B">
        <w:rPr>
          <w:rFonts w:ascii="Times New Roman" w:hAnsi="Times New Roman" w:cs="Times New Roman"/>
          <w:sz w:val="28"/>
          <w:szCs w:val="28"/>
        </w:rPr>
        <w:t>где:</w:t>
      </w:r>
    </w:p>
    <w:p w:rsidR="00DF6DC7" w:rsidRPr="00B35E6B" w:rsidRDefault="00DF6DC7" w:rsidP="00B35E6B">
      <w:pPr>
        <w:pStyle w:val="ConsPlusNormal"/>
        <w:ind w:firstLine="709"/>
        <w:contextualSpacing/>
        <w:jc w:val="both"/>
        <w:rPr>
          <w:rFonts w:ascii="Times New Roman" w:hAnsi="Times New Roman" w:cs="Times New Roman"/>
          <w:sz w:val="28"/>
          <w:szCs w:val="28"/>
        </w:rPr>
      </w:pPr>
      <w:proofErr w:type="spellStart"/>
      <w:proofErr w:type="gramStart"/>
      <w:r w:rsidRPr="00B35E6B">
        <w:rPr>
          <w:rFonts w:ascii="Times New Roman" w:hAnsi="Times New Roman" w:cs="Times New Roman"/>
          <w:sz w:val="28"/>
          <w:szCs w:val="28"/>
        </w:rPr>
        <w:lastRenderedPageBreak/>
        <w:t>V</w:t>
      </w:r>
      <w:proofErr w:type="gramEnd"/>
      <w:r w:rsidRPr="00B35E6B">
        <w:rPr>
          <w:rFonts w:ascii="Times New Roman" w:hAnsi="Times New Roman" w:cs="Times New Roman"/>
          <w:sz w:val="28"/>
          <w:szCs w:val="28"/>
          <w:vertAlign w:val="subscript"/>
        </w:rPr>
        <w:t>субсидии</w:t>
      </w:r>
      <w:proofErr w:type="spellEnd"/>
      <w:r w:rsidRPr="00B35E6B">
        <w:rPr>
          <w:rFonts w:ascii="Times New Roman" w:hAnsi="Times New Roman" w:cs="Times New Roman"/>
          <w:sz w:val="28"/>
          <w:szCs w:val="28"/>
        </w:rPr>
        <w:t xml:space="preserve"> − размер субсидии, предоставленной местному бюджету в отчетном финансовом году, без учета размера остатка субсидии, не использованного по состоянию на 01 января текущего финансового года, потребность в котором не подтверждена департаментом;</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k – коэффициент возврата субсидии;</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m – количество результатов использования субсидии, по которым индекс, отражающий уровень недостижения i-</w:t>
      </w:r>
      <w:proofErr w:type="spellStart"/>
      <w:r w:rsidRPr="00B35E6B">
        <w:rPr>
          <w:rFonts w:ascii="Times New Roman" w:hAnsi="Times New Roman" w:cs="Times New Roman"/>
          <w:sz w:val="28"/>
          <w:szCs w:val="28"/>
        </w:rPr>
        <w:t>го</w:t>
      </w:r>
      <w:proofErr w:type="spellEnd"/>
      <w:r w:rsidRPr="00B35E6B">
        <w:rPr>
          <w:rFonts w:ascii="Times New Roman" w:hAnsi="Times New Roman" w:cs="Times New Roman"/>
          <w:sz w:val="28"/>
          <w:szCs w:val="28"/>
        </w:rPr>
        <w:t xml:space="preserve"> результата использования субсидии, имеет положительное значение (больше нуля);</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n – общее количество результатов использования субсидии;</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0,1 – понижающий коэффициент суммы возврата субсидии.</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Коэффициент возврата субсидии (k) рассчитывается по формуле:</w:t>
      </w:r>
    </w:p>
    <w:p w:rsidR="00DF6DC7" w:rsidRPr="00B35E6B" w:rsidRDefault="00DF6DC7" w:rsidP="00B35E6B">
      <w:pPr>
        <w:pStyle w:val="ConsPlusNormal"/>
        <w:ind w:firstLine="709"/>
        <w:contextualSpacing/>
        <w:jc w:val="both"/>
        <w:rPr>
          <w:rFonts w:ascii="Times New Roman" w:hAnsi="Times New Roman" w:cs="Times New Roman"/>
          <w:sz w:val="28"/>
          <w:szCs w:val="28"/>
        </w:rPr>
      </w:pPr>
    </w:p>
    <w:p w:rsidR="00DF6DC7" w:rsidRPr="00B35E6B" w:rsidRDefault="00DF6DC7" w:rsidP="00B35E6B">
      <w:pPr>
        <w:pStyle w:val="ConsPlusNormal"/>
        <w:ind w:firstLine="709"/>
        <w:contextualSpacing/>
        <w:jc w:val="center"/>
        <w:rPr>
          <w:rFonts w:ascii="Times New Roman" w:hAnsi="Times New Roman" w:cs="Times New Roman"/>
          <w:sz w:val="28"/>
          <w:szCs w:val="28"/>
        </w:rPr>
      </w:pPr>
      <w:r w:rsidRPr="00B35E6B">
        <w:rPr>
          <w:rFonts w:ascii="Times New Roman" w:hAnsi="Times New Roman" w:cs="Times New Roman"/>
          <w:sz w:val="28"/>
          <w:szCs w:val="28"/>
        </w:rPr>
        <w:t xml:space="preserve">k = ∑ </w:t>
      </w:r>
      <w:proofErr w:type="spellStart"/>
      <w:r w:rsidRPr="00B35E6B">
        <w:rPr>
          <w:rFonts w:ascii="Times New Roman" w:hAnsi="Times New Roman" w:cs="Times New Roman"/>
          <w:sz w:val="28"/>
          <w:szCs w:val="28"/>
        </w:rPr>
        <w:t>Di</w:t>
      </w:r>
      <w:proofErr w:type="spellEnd"/>
      <w:r w:rsidRPr="00B35E6B">
        <w:rPr>
          <w:rFonts w:ascii="Times New Roman" w:hAnsi="Times New Roman" w:cs="Times New Roman"/>
          <w:sz w:val="28"/>
          <w:szCs w:val="28"/>
        </w:rPr>
        <w:t xml:space="preserve"> / m,</w:t>
      </w:r>
    </w:p>
    <w:p w:rsidR="00DF6DC7" w:rsidRPr="00B35E6B" w:rsidRDefault="00DF6DC7" w:rsidP="00B35E6B">
      <w:pPr>
        <w:pStyle w:val="ConsPlusNormal"/>
        <w:contextualSpacing/>
        <w:jc w:val="both"/>
        <w:rPr>
          <w:rFonts w:ascii="Times New Roman" w:hAnsi="Times New Roman" w:cs="Times New Roman"/>
          <w:sz w:val="28"/>
          <w:szCs w:val="28"/>
        </w:rPr>
      </w:pPr>
      <w:r w:rsidRPr="00B35E6B">
        <w:rPr>
          <w:rFonts w:ascii="Times New Roman" w:hAnsi="Times New Roman" w:cs="Times New Roman"/>
          <w:sz w:val="28"/>
          <w:szCs w:val="28"/>
        </w:rPr>
        <w:t xml:space="preserve">где </w:t>
      </w:r>
      <w:proofErr w:type="spellStart"/>
      <w:r w:rsidRPr="00B35E6B">
        <w:rPr>
          <w:rFonts w:ascii="Times New Roman" w:hAnsi="Times New Roman" w:cs="Times New Roman"/>
          <w:sz w:val="28"/>
          <w:szCs w:val="28"/>
        </w:rPr>
        <w:t>Di</w:t>
      </w:r>
      <w:proofErr w:type="spellEnd"/>
      <w:r w:rsidRPr="00B35E6B">
        <w:rPr>
          <w:rFonts w:ascii="Times New Roman" w:hAnsi="Times New Roman" w:cs="Times New Roman"/>
          <w:sz w:val="28"/>
          <w:szCs w:val="28"/>
        </w:rPr>
        <w:t xml:space="preserve"> – индекс, отражающий уровень недостижения i-</w:t>
      </w:r>
      <w:proofErr w:type="spellStart"/>
      <w:r w:rsidRPr="00B35E6B">
        <w:rPr>
          <w:rFonts w:ascii="Times New Roman" w:hAnsi="Times New Roman" w:cs="Times New Roman"/>
          <w:sz w:val="28"/>
          <w:szCs w:val="28"/>
        </w:rPr>
        <w:t>го</w:t>
      </w:r>
      <w:proofErr w:type="spellEnd"/>
      <w:r w:rsidRPr="00B35E6B">
        <w:rPr>
          <w:rFonts w:ascii="Times New Roman" w:hAnsi="Times New Roman" w:cs="Times New Roman"/>
          <w:sz w:val="28"/>
          <w:szCs w:val="28"/>
        </w:rPr>
        <w:t xml:space="preserve"> результата использования субсидии.</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w:t>
      </w:r>
      <w:r w:rsidRPr="00B35E6B">
        <w:rPr>
          <w:rFonts w:ascii="Times New Roman" w:hAnsi="Times New Roman" w:cs="Times New Roman"/>
          <w:sz w:val="28"/>
          <w:szCs w:val="28"/>
        </w:rPr>
        <w:noBreakHyphen/>
      </w:r>
      <w:proofErr w:type="spellStart"/>
      <w:r w:rsidRPr="00B35E6B">
        <w:rPr>
          <w:rFonts w:ascii="Times New Roman" w:hAnsi="Times New Roman" w:cs="Times New Roman"/>
          <w:sz w:val="28"/>
          <w:szCs w:val="28"/>
        </w:rPr>
        <w:t>го</w:t>
      </w:r>
      <w:proofErr w:type="spellEnd"/>
      <w:r w:rsidRPr="00B35E6B">
        <w:rPr>
          <w:rFonts w:ascii="Times New Roman" w:hAnsi="Times New Roman" w:cs="Times New Roman"/>
          <w:sz w:val="28"/>
          <w:szCs w:val="28"/>
        </w:rPr>
        <w:t> результата использования субсидии.</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Индекс, отражающий уровень недостижения i-</w:t>
      </w:r>
      <w:proofErr w:type="spellStart"/>
      <w:r w:rsidRPr="00B35E6B">
        <w:rPr>
          <w:rFonts w:ascii="Times New Roman" w:hAnsi="Times New Roman" w:cs="Times New Roman"/>
          <w:sz w:val="28"/>
          <w:szCs w:val="28"/>
        </w:rPr>
        <w:t>го</w:t>
      </w:r>
      <w:proofErr w:type="spellEnd"/>
      <w:r w:rsidRPr="00B35E6B">
        <w:rPr>
          <w:rFonts w:ascii="Times New Roman" w:hAnsi="Times New Roman" w:cs="Times New Roman"/>
          <w:sz w:val="28"/>
          <w:szCs w:val="28"/>
        </w:rPr>
        <w:t xml:space="preserve"> результата использования субсидии</w:t>
      </w:r>
      <w:r w:rsidRPr="00B35E6B" w:rsidDel="00B75670">
        <w:rPr>
          <w:rFonts w:ascii="Times New Roman" w:hAnsi="Times New Roman" w:cs="Times New Roman"/>
          <w:sz w:val="28"/>
          <w:szCs w:val="28"/>
        </w:rPr>
        <w:t xml:space="preserve"> </w:t>
      </w:r>
      <w:r w:rsidRPr="00B35E6B">
        <w:rPr>
          <w:rFonts w:ascii="Times New Roman" w:hAnsi="Times New Roman" w:cs="Times New Roman"/>
          <w:sz w:val="28"/>
          <w:szCs w:val="28"/>
        </w:rPr>
        <w:t>(</w:t>
      </w:r>
      <w:proofErr w:type="spellStart"/>
      <w:r w:rsidRPr="00B35E6B">
        <w:rPr>
          <w:rFonts w:ascii="Times New Roman" w:hAnsi="Times New Roman" w:cs="Times New Roman"/>
          <w:sz w:val="28"/>
          <w:szCs w:val="28"/>
        </w:rPr>
        <w:t>Di</w:t>
      </w:r>
      <w:proofErr w:type="spellEnd"/>
      <w:r w:rsidRPr="00B35E6B">
        <w:rPr>
          <w:rFonts w:ascii="Times New Roman" w:hAnsi="Times New Roman" w:cs="Times New Roman"/>
          <w:sz w:val="28"/>
          <w:szCs w:val="28"/>
        </w:rPr>
        <w:t>), определяется по формуле:</w:t>
      </w:r>
    </w:p>
    <w:p w:rsidR="00DF6DC7" w:rsidRPr="00B35E6B" w:rsidRDefault="00DF6DC7" w:rsidP="00B35E6B">
      <w:pPr>
        <w:pStyle w:val="ConsPlusNormal"/>
        <w:ind w:firstLine="709"/>
        <w:contextualSpacing/>
        <w:jc w:val="both"/>
        <w:rPr>
          <w:rFonts w:ascii="Times New Roman" w:hAnsi="Times New Roman" w:cs="Times New Roman"/>
          <w:sz w:val="28"/>
          <w:szCs w:val="28"/>
        </w:rPr>
      </w:pPr>
    </w:p>
    <w:p w:rsidR="00DF6DC7" w:rsidRPr="00B35E6B" w:rsidRDefault="00DF6DC7" w:rsidP="00B35E6B">
      <w:pPr>
        <w:pStyle w:val="ConsPlusNormal"/>
        <w:ind w:firstLine="709"/>
        <w:contextualSpacing/>
        <w:jc w:val="center"/>
        <w:rPr>
          <w:rFonts w:ascii="Times New Roman" w:hAnsi="Times New Roman" w:cs="Times New Roman"/>
          <w:sz w:val="28"/>
          <w:szCs w:val="28"/>
        </w:rPr>
      </w:pPr>
      <w:proofErr w:type="spellStart"/>
      <w:r w:rsidRPr="00B35E6B">
        <w:rPr>
          <w:rFonts w:ascii="Times New Roman" w:hAnsi="Times New Roman" w:cs="Times New Roman"/>
          <w:sz w:val="28"/>
          <w:szCs w:val="28"/>
        </w:rPr>
        <w:t>Di</w:t>
      </w:r>
      <w:proofErr w:type="spellEnd"/>
      <w:r w:rsidRPr="00B35E6B">
        <w:rPr>
          <w:rFonts w:ascii="Times New Roman" w:hAnsi="Times New Roman" w:cs="Times New Roman"/>
          <w:sz w:val="28"/>
          <w:szCs w:val="28"/>
        </w:rPr>
        <w:t xml:space="preserve"> = 1 – </w:t>
      </w:r>
      <w:proofErr w:type="spellStart"/>
      <w:r w:rsidRPr="00B35E6B">
        <w:rPr>
          <w:rFonts w:ascii="Times New Roman" w:hAnsi="Times New Roman" w:cs="Times New Roman"/>
          <w:sz w:val="28"/>
          <w:szCs w:val="28"/>
        </w:rPr>
        <w:t>Ti</w:t>
      </w:r>
      <w:proofErr w:type="spellEnd"/>
      <w:r w:rsidRPr="00B35E6B">
        <w:rPr>
          <w:rFonts w:ascii="Times New Roman" w:hAnsi="Times New Roman" w:cs="Times New Roman"/>
          <w:sz w:val="28"/>
          <w:szCs w:val="28"/>
        </w:rPr>
        <w:t xml:space="preserve"> / </w:t>
      </w:r>
      <w:proofErr w:type="spellStart"/>
      <w:r w:rsidRPr="00B35E6B">
        <w:rPr>
          <w:rFonts w:ascii="Times New Roman" w:hAnsi="Times New Roman" w:cs="Times New Roman"/>
          <w:sz w:val="28"/>
          <w:szCs w:val="28"/>
        </w:rPr>
        <w:t>Si</w:t>
      </w:r>
      <w:proofErr w:type="spellEnd"/>
      <w:r w:rsidRPr="00B35E6B">
        <w:rPr>
          <w:rFonts w:ascii="Times New Roman" w:hAnsi="Times New Roman" w:cs="Times New Roman"/>
          <w:sz w:val="28"/>
          <w:szCs w:val="28"/>
        </w:rPr>
        <w:t>,</w:t>
      </w:r>
    </w:p>
    <w:p w:rsidR="00DF6DC7" w:rsidRPr="00B35E6B" w:rsidRDefault="00DF6DC7" w:rsidP="00B35E6B">
      <w:pPr>
        <w:pStyle w:val="ConsPlusNormal"/>
        <w:contextualSpacing/>
        <w:jc w:val="both"/>
        <w:rPr>
          <w:rFonts w:ascii="Times New Roman" w:hAnsi="Times New Roman" w:cs="Times New Roman"/>
          <w:sz w:val="28"/>
          <w:szCs w:val="28"/>
        </w:rPr>
      </w:pPr>
      <w:r w:rsidRPr="00B35E6B">
        <w:rPr>
          <w:rFonts w:ascii="Times New Roman" w:hAnsi="Times New Roman" w:cs="Times New Roman"/>
          <w:sz w:val="28"/>
          <w:szCs w:val="28"/>
        </w:rPr>
        <w:t>где:</w:t>
      </w:r>
    </w:p>
    <w:p w:rsidR="00DF6DC7" w:rsidRPr="00B35E6B" w:rsidRDefault="00DF6DC7" w:rsidP="00B35E6B">
      <w:pPr>
        <w:pStyle w:val="ConsPlusNormal"/>
        <w:ind w:firstLine="709"/>
        <w:contextualSpacing/>
        <w:jc w:val="both"/>
        <w:rPr>
          <w:rFonts w:ascii="Times New Roman" w:hAnsi="Times New Roman" w:cs="Times New Roman"/>
          <w:sz w:val="28"/>
          <w:szCs w:val="28"/>
        </w:rPr>
      </w:pPr>
      <w:proofErr w:type="spellStart"/>
      <w:r w:rsidRPr="00B35E6B">
        <w:rPr>
          <w:rFonts w:ascii="Times New Roman" w:hAnsi="Times New Roman" w:cs="Times New Roman"/>
          <w:sz w:val="28"/>
          <w:szCs w:val="28"/>
        </w:rPr>
        <w:t>Т</w:t>
      </w:r>
      <w:proofErr w:type="gramStart"/>
      <w:r w:rsidRPr="00B35E6B">
        <w:rPr>
          <w:rFonts w:ascii="Times New Roman" w:hAnsi="Times New Roman" w:cs="Times New Roman"/>
          <w:sz w:val="28"/>
          <w:szCs w:val="28"/>
        </w:rPr>
        <w:t>i</w:t>
      </w:r>
      <w:proofErr w:type="spellEnd"/>
      <w:proofErr w:type="gramEnd"/>
      <w:r w:rsidRPr="00B35E6B">
        <w:rPr>
          <w:rFonts w:ascii="Times New Roman" w:hAnsi="Times New Roman" w:cs="Times New Roman"/>
          <w:sz w:val="28"/>
          <w:szCs w:val="28"/>
        </w:rPr>
        <w:t xml:space="preserve"> – фактически достигнутое значение i-</w:t>
      </w:r>
      <w:proofErr w:type="spellStart"/>
      <w:r w:rsidRPr="00B35E6B">
        <w:rPr>
          <w:rFonts w:ascii="Times New Roman" w:hAnsi="Times New Roman" w:cs="Times New Roman"/>
          <w:sz w:val="28"/>
          <w:szCs w:val="28"/>
        </w:rPr>
        <w:t>го</w:t>
      </w:r>
      <w:proofErr w:type="spellEnd"/>
      <w:r w:rsidRPr="00B35E6B">
        <w:rPr>
          <w:rFonts w:ascii="Times New Roman" w:hAnsi="Times New Roman" w:cs="Times New Roman"/>
          <w:sz w:val="28"/>
          <w:szCs w:val="28"/>
        </w:rPr>
        <w:t xml:space="preserve"> результата использования субсидии на отчетную дату;</w:t>
      </w:r>
    </w:p>
    <w:p w:rsidR="00DF6DC7" w:rsidRPr="00B35E6B" w:rsidRDefault="00DF6DC7" w:rsidP="00B35E6B">
      <w:pPr>
        <w:pStyle w:val="ConsPlusNormal"/>
        <w:ind w:firstLine="709"/>
        <w:contextualSpacing/>
        <w:jc w:val="both"/>
        <w:rPr>
          <w:rFonts w:ascii="Times New Roman" w:hAnsi="Times New Roman" w:cs="Times New Roman"/>
          <w:sz w:val="28"/>
          <w:szCs w:val="28"/>
        </w:rPr>
      </w:pPr>
      <w:proofErr w:type="spellStart"/>
      <w:r w:rsidRPr="00B35E6B">
        <w:rPr>
          <w:rFonts w:ascii="Times New Roman" w:hAnsi="Times New Roman" w:cs="Times New Roman"/>
          <w:sz w:val="28"/>
          <w:szCs w:val="28"/>
        </w:rPr>
        <w:t>Si</w:t>
      </w:r>
      <w:proofErr w:type="spellEnd"/>
      <w:r w:rsidRPr="00B35E6B">
        <w:rPr>
          <w:rFonts w:ascii="Times New Roman" w:hAnsi="Times New Roman" w:cs="Times New Roman"/>
          <w:sz w:val="28"/>
          <w:szCs w:val="28"/>
        </w:rPr>
        <w:t xml:space="preserve"> – плановое значение i-</w:t>
      </w:r>
      <w:proofErr w:type="spellStart"/>
      <w:r w:rsidRPr="00B35E6B">
        <w:rPr>
          <w:rFonts w:ascii="Times New Roman" w:hAnsi="Times New Roman" w:cs="Times New Roman"/>
          <w:sz w:val="28"/>
          <w:szCs w:val="28"/>
        </w:rPr>
        <w:t>го</w:t>
      </w:r>
      <w:proofErr w:type="spellEnd"/>
      <w:r w:rsidRPr="00B35E6B">
        <w:rPr>
          <w:rFonts w:ascii="Times New Roman" w:hAnsi="Times New Roman" w:cs="Times New Roman"/>
          <w:sz w:val="28"/>
          <w:szCs w:val="28"/>
        </w:rPr>
        <w:t xml:space="preserve"> результата использования субсидии, установленное соглашением.</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18. В случае выявления недостаточного софинансирования расходных обязательств муниципального образования области из местного бюджета объем средств, подлежащих возврату из местного бюджета в областной бюджет (</w:t>
      </w:r>
      <w:proofErr w:type="spellStart"/>
      <w:proofErr w:type="gramStart"/>
      <w:r w:rsidRPr="00B35E6B">
        <w:rPr>
          <w:rFonts w:ascii="Times New Roman" w:hAnsi="Times New Roman" w:cs="Times New Roman"/>
          <w:sz w:val="28"/>
          <w:szCs w:val="28"/>
        </w:rPr>
        <w:t>S</w:t>
      </w:r>
      <w:proofErr w:type="gramEnd"/>
      <w:r w:rsidRPr="00B35E6B">
        <w:rPr>
          <w:rFonts w:ascii="Times New Roman" w:hAnsi="Times New Roman" w:cs="Times New Roman"/>
          <w:sz w:val="28"/>
          <w:szCs w:val="28"/>
        </w:rPr>
        <w:t>н</w:t>
      </w:r>
      <w:proofErr w:type="spellEnd"/>
      <w:r w:rsidRPr="00B35E6B">
        <w:rPr>
          <w:rFonts w:ascii="Times New Roman" w:hAnsi="Times New Roman" w:cs="Times New Roman"/>
          <w:sz w:val="28"/>
          <w:szCs w:val="28"/>
        </w:rPr>
        <w:t>), рассчитывается по формуле:</w:t>
      </w:r>
    </w:p>
    <w:p w:rsidR="00DF6DC7" w:rsidRPr="00B35E6B" w:rsidRDefault="00DF6DC7" w:rsidP="00B35E6B">
      <w:pPr>
        <w:pStyle w:val="ConsPlusNormal"/>
        <w:ind w:firstLine="709"/>
        <w:contextualSpacing/>
        <w:jc w:val="both"/>
        <w:rPr>
          <w:rFonts w:ascii="Times New Roman" w:hAnsi="Times New Roman" w:cs="Times New Roman"/>
          <w:sz w:val="28"/>
          <w:szCs w:val="28"/>
        </w:rPr>
      </w:pPr>
    </w:p>
    <w:p w:rsidR="00DF6DC7" w:rsidRPr="00B35E6B" w:rsidRDefault="00DF6DC7" w:rsidP="00B35E6B">
      <w:pPr>
        <w:pStyle w:val="ConsPlusNormal"/>
        <w:contextualSpacing/>
        <w:jc w:val="center"/>
        <w:rPr>
          <w:rFonts w:ascii="Times New Roman" w:hAnsi="Times New Roman" w:cs="Times New Roman"/>
          <w:sz w:val="28"/>
          <w:szCs w:val="28"/>
        </w:rPr>
      </w:pPr>
      <w:proofErr w:type="spellStart"/>
      <w:proofErr w:type="gramStart"/>
      <w:r w:rsidRPr="00B35E6B">
        <w:rPr>
          <w:rFonts w:ascii="Times New Roman" w:hAnsi="Times New Roman" w:cs="Times New Roman"/>
          <w:sz w:val="28"/>
          <w:szCs w:val="28"/>
        </w:rPr>
        <w:t>S</w:t>
      </w:r>
      <w:proofErr w:type="gramEnd"/>
      <w:r w:rsidRPr="00B35E6B">
        <w:rPr>
          <w:rFonts w:ascii="Times New Roman" w:hAnsi="Times New Roman" w:cs="Times New Roman"/>
          <w:sz w:val="28"/>
          <w:szCs w:val="28"/>
        </w:rPr>
        <w:t>н</w:t>
      </w:r>
      <w:proofErr w:type="spellEnd"/>
      <w:r w:rsidRPr="00B35E6B">
        <w:rPr>
          <w:rFonts w:ascii="Times New Roman" w:hAnsi="Times New Roman" w:cs="Times New Roman"/>
          <w:sz w:val="28"/>
          <w:szCs w:val="28"/>
        </w:rPr>
        <w:t xml:space="preserve"> = </w:t>
      </w:r>
      <w:proofErr w:type="spellStart"/>
      <w:r w:rsidRPr="00B35E6B">
        <w:rPr>
          <w:rFonts w:ascii="Times New Roman" w:hAnsi="Times New Roman" w:cs="Times New Roman"/>
          <w:sz w:val="28"/>
          <w:szCs w:val="28"/>
        </w:rPr>
        <w:t>Sф</w:t>
      </w:r>
      <w:proofErr w:type="spellEnd"/>
      <w:r w:rsidRPr="00B35E6B">
        <w:rPr>
          <w:rFonts w:ascii="Times New Roman" w:hAnsi="Times New Roman" w:cs="Times New Roman"/>
          <w:sz w:val="28"/>
          <w:szCs w:val="28"/>
        </w:rPr>
        <w:t xml:space="preserve"> </w:t>
      </w:r>
      <w:r w:rsidRPr="00B35E6B">
        <w:rPr>
          <w:rFonts w:ascii="Times New Roman" w:hAnsi="Times New Roman" w:cs="Times New Roman"/>
          <w:noProof/>
          <w:sz w:val="28"/>
          <w:szCs w:val="28"/>
        </w:rPr>
        <w:drawing>
          <wp:inline distT="0" distB="0" distL="0" distR="0" wp14:anchorId="2B81A423" wp14:editId="27829D6C">
            <wp:extent cx="123825" cy="200025"/>
            <wp:effectExtent l="19050" t="0" r="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B35E6B">
        <w:rPr>
          <w:rFonts w:ascii="Times New Roman" w:hAnsi="Times New Roman" w:cs="Times New Roman"/>
          <w:sz w:val="28"/>
          <w:szCs w:val="28"/>
        </w:rPr>
        <w:t xml:space="preserve"> </w:t>
      </w:r>
      <w:proofErr w:type="spellStart"/>
      <w:r w:rsidRPr="00B35E6B">
        <w:rPr>
          <w:rFonts w:ascii="Times New Roman" w:hAnsi="Times New Roman" w:cs="Times New Roman"/>
          <w:sz w:val="28"/>
          <w:szCs w:val="28"/>
        </w:rPr>
        <w:t>Sк</w:t>
      </w:r>
      <w:proofErr w:type="spellEnd"/>
      <w:r w:rsidRPr="00B35E6B">
        <w:rPr>
          <w:rFonts w:ascii="Times New Roman" w:hAnsi="Times New Roman" w:cs="Times New Roman"/>
          <w:sz w:val="28"/>
          <w:szCs w:val="28"/>
        </w:rPr>
        <w:t xml:space="preserve"> </w:t>
      </w:r>
      <w:r w:rsidRPr="00B35E6B">
        <w:rPr>
          <w:rFonts w:ascii="Times New Roman" w:hAnsi="Times New Roman" w:cs="Times New Roman"/>
          <w:noProof/>
          <w:sz w:val="28"/>
          <w:szCs w:val="28"/>
        </w:rPr>
        <w:drawing>
          <wp:inline distT="0" distB="0" distL="0" distR="0" wp14:anchorId="58DDEF61" wp14:editId="55355073">
            <wp:extent cx="95250" cy="180975"/>
            <wp:effectExtent l="19050" t="0" r="0" b="0"/>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95250" cy="180975"/>
                    </a:xfrm>
                    <a:prstGeom prst="rect">
                      <a:avLst/>
                    </a:prstGeom>
                    <a:noFill/>
                    <a:ln w="9525">
                      <a:noFill/>
                      <a:miter lim="800000"/>
                      <a:headEnd/>
                      <a:tailEnd/>
                    </a:ln>
                  </pic:spPr>
                </pic:pic>
              </a:graphicData>
            </a:graphic>
          </wp:inline>
        </w:drawing>
      </w:r>
      <w:r w:rsidRPr="00B35E6B">
        <w:rPr>
          <w:rFonts w:ascii="Times New Roman" w:hAnsi="Times New Roman" w:cs="Times New Roman"/>
          <w:sz w:val="28"/>
          <w:szCs w:val="28"/>
        </w:rPr>
        <w:t xml:space="preserve"> </w:t>
      </w:r>
      <w:proofErr w:type="spellStart"/>
      <w:r w:rsidRPr="00B35E6B">
        <w:rPr>
          <w:rFonts w:ascii="Times New Roman" w:hAnsi="Times New Roman" w:cs="Times New Roman"/>
          <w:sz w:val="28"/>
          <w:szCs w:val="28"/>
        </w:rPr>
        <w:t>Кф</w:t>
      </w:r>
      <w:proofErr w:type="spellEnd"/>
      <w:r w:rsidRPr="00B35E6B">
        <w:rPr>
          <w:rFonts w:ascii="Times New Roman" w:hAnsi="Times New Roman" w:cs="Times New Roman"/>
          <w:sz w:val="28"/>
          <w:szCs w:val="28"/>
        </w:rPr>
        <w:t>,</w:t>
      </w:r>
    </w:p>
    <w:p w:rsidR="00DF6DC7" w:rsidRPr="00B35E6B" w:rsidRDefault="00DF6DC7" w:rsidP="00B35E6B">
      <w:pPr>
        <w:pStyle w:val="ConsPlusNormal"/>
        <w:contextualSpacing/>
        <w:jc w:val="both"/>
        <w:rPr>
          <w:rFonts w:ascii="Times New Roman" w:hAnsi="Times New Roman" w:cs="Times New Roman"/>
          <w:sz w:val="28"/>
          <w:szCs w:val="28"/>
        </w:rPr>
      </w:pPr>
      <w:r w:rsidRPr="00B35E6B">
        <w:rPr>
          <w:rFonts w:ascii="Times New Roman" w:hAnsi="Times New Roman" w:cs="Times New Roman"/>
          <w:sz w:val="28"/>
          <w:szCs w:val="28"/>
        </w:rPr>
        <w:t>где:</w:t>
      </w:r>
    </w:p>
    <w:p w:rsidR="00DF6DC7" w:rsidRPr="00B35E6B" w:rsidRDefault="00DF6DC7" w:rsidP="00B35E6B">
      <w:pPr>
        <w:pStyle w:val="ConsPlusNormal"/>
        <w:ind w:firstLine="709"/>
        <w:contextualSpacing/>
        <w:jc w:val="both"/>
        <w:rPr>
          <w:rFonts w:ascii="Times New Roman" w:hAnsi="Times New Roman" w:cs="Times New Roman"/>
          <w:sz w:val="28"/>
          <w:szCs w:val="28"/>
        </w:rPr>
      </w:pPr>
      <w:proofErr w:type="spellStart"/>
      <w:proofErr w:type="gramStart"/>
      <w:r w:rsidRPr="00B35E6B">
        <w:rPr>
          <w:rFonts w:ascii="Times New Roman" w:hAnsi="Times New Roman" w:cs="Times New Roman"/>
          <w:sz w:val="28"/>
          <w:szCs w:val="28"/>
        </w:rPr>
        <w:t>S</w:t>
      </w:r>
      <w:proofErr w:type="gramEnd"/>
      <w:r w:rsidRPr="00B35E6B">
        <w:rPr>
          <w:rFonts w:ascii="Times New Roman" w:hAnsi="Times New Roman" w:cs="Times New Roman"/>
          <w:sz w:val="28"/>
          <w:szCs w:val="28"/>
        </w:rPr>
        <w:t>ф</w:t>
      </w:r>
      <w:proofErr w:type="spellEnd"/>
      <w:r w:rsidRPr="00B35E6B">
        <w:rPr>
          <w:rFonts w:ascii="Times New Roman" w:hAnsi="Times New Roman" w:cs="Times New Roman"/>
          <w:sz w:val="28"/>
          <w:szCs w:val="28"/>
        </w:rPr>
        <w:t xml:space="preserve"> – размер субсидии по состоянию на дату окончания контрольного мероприятия;</w:t>
      </w:r>
    </w:p>
    <w:p w:rsidR="00DF6DC7" w:rsidRPr="00B35E6B" w:rsidRDefault="00DF6DC7" w:rsidP="00B35E6B">
      <w:pPr>
        <w:pStyle w:val="ConsPlusNormal"/>
        <w:widowControl/>
        <w:ind w:firstLine="709"/>
        <w:contextualSpacing/>
        <w:jc w:val="both"/>
        <w:rPr>
          <w:rFonts w:ascii="Times New Roman" w:hAnsi="Times New Roman" w:cs="Times New Roman"/>
          <w:sz w:val="28"/>
          <w:szCs w:val="28"/>
        </w:rPr>
      </w:pPr>
      <w:proofErr w:type="spellStart"/>
      <w:proofErr w:type="gramStart"/>
      <w:r w:rsidRPr="00B35E6B">
        <w:rPr>
          <w:rFonts w:ascii="Times New Roman" w:hAnsi="Times New Roman" w:cs="Times New Roman"/>
          <w:sz w:val="28"/>
          <w:szCs w:val="28"/>
        </w:rPr>
        <w:t>Sк</w:t>
      </w:r>
      <w:proofErr w:type="spellEnd"/>
      <w:r w:rsidRPr="00B35E6B">
        <w:rPr>
          <w:rFonts w:ascii="Times New Roman" w:hAnsi="Times New Roman" w:cs="Times New Roman"/>
          <w:sz w:val="28"/>
          <w:szCs w:val="28"/>
        </w:rPr>
        <w:t xml:space="preserve"> – общий объем фактически произведенных кассовых расходов на реализацию бюджетных обязательств, принятых допустившим нарушение условий софинансирования расходного обязательства муниципального образования области получателем средств, необходимых для исполнения расходного обязательства муниципального образования области, в целях софинансирования которого предоставлена субсидия, по состоянию на дату окончания контрольного мероприятия;</w:t>
      </w:r>
      <w:proofErr w:type="gramEnd"/>
    </w:p>
    <w:p w:rsidR="00DF6DC7" w:rsidRPr="00B35E6B" w:rsidRDefault="00DF6DC7" w:rsidP="00B35E6B">
      <w:pPr>
        <w:pStyle w:val="ConsPlusNormal"/>
        <w:ind w:firstLine="709"/>
        <w:contextualSpacing/>
        <w:jc w:val="both"/>
        <w:rPr>
          <w:rFonts w:ascii="Times New Roman" w:hAnsi="Times New Roman" w:cs="Times New Roman"/>
          <w:sz w:val="28"/>
          <w:szCs w:val="28"/>
        </w:rPr>
      </w:pPr>
      <w:proofErr w:type="spellStart"/>
      <w:proofErr w:type="gramStart"/>
      <w:r w:rsidRPr="00B35E6B">
        <w:rPr>
          <w:rFonts w:ascii="Times New Roman" w:eastAsiaTheme="minorHAnsi" w:hAnsi="Times New Roman" w:cstheme="minorBidi"/>
          <w:sz w:val="28"/>
          <w:szCs w:val="28"/>
        </w:rPr>
        <w:t>K</w:t>
      </w:r>
      <w:proofErr w:type="gramEnd"/>
      <w:r w:rsidRPr="00B35E6B">
        <w:rPr>
          <w:rFonts w:ascii="Times New Roman" w:eastAsiaTheme="minorHAnsi" w:hAnsi="Times New Roman" w:cstheme="minorBidi"/>
          <w:sz w:val="28"/>
          <w:szCs w:val="28"/>
        </w:rPr>
        <w:t>ф</w:t>
      </w:r>
      <w:proofErr w:type="spellEnd"/>
      <w:r w:rsidRPr="00B35E6B">
        <w:rPr>
          <w:rFonts w:ascii="Times New Roman" w:eastAsiaTheme="minorHAnsi" w:hAnsi="Times New Roman" w:cstheme="minorBidi"/>
          <w:sz w:val="28"/>
          <w:szCs w:val="28"/>
        </w:rPr>
        <w:t xml:space="preserve"> </w:t>
      </w:r>
      <w:r w:rsidRPr="00B35E6B">
        <w:rPr>
          <w:rFonts w:ascii="Times New Roman" w:hAnsi="Times New Roman" w:cs="Times New Roman"/>
          <w:sz w:val="28"/>
          <w:szCs w:val="28"/>
        </w:rPr>
        <w:t>–</w:t>
      </w:r>
      <w:r w:rsidRPr="00B35E6B">
        <w:rPr>
          <w:rFonts w:ascii="Times New Roman" w:eastAsiaTheme="minorHAnsi" w:hAnsi="Times New Roman" w:cstheme="minorBidi"/>
          <w:sz w:val="28"/>
          <w:szCs w:val="28"/>
        </w:rPr>
        <w:t xml:space="preserve"> безразмерный коэффициент, выражающий уровень софинансирования </w:t>
      </w:r>
      <w:r w:rsidRPr="00B35E6B">
        <w:rPr>
          <w:rFonts w:ascii="Times New Roman" w:hAnsi="Times New Roman" w:cs="Times New Roman"/>
          <w:sz w:val="28"/>
          <w:szCs w:val="28"/>
        </w:rPr>
        <w:t xml:space="preserve">расходного обязательства муниципального образования </w:t>
      </w:r>
      <w:r w:rsidRPr="00B35E6B">
        <w:rPr>
          <w:rFonts w:ascii="Times New Roman" w:hAnsi="Times New Roman" w:cs="Times New Roman"/>
          <w:sz w:val="28"/>
          <w:szCs w:val="28"/>
        </w:rPr>
        <w:lastRenderedPageBreak/>
        <w:t>области из областного бюджета по соответствующему мероприятию, предусмотренный соглашением.</w:t>
      </w:r>
    </w:p>
    <w:p w:rsidR="00DF6DC7" w:rsidRPr="00B35E6B" w:rsidRDefault="00DF6DC7" w:rsidP="00B35E6B">
      <w:pPr>
        <w:ind w:firstLine="709"/>
        <w:contextualSpacing/>
        <w:jc w:val="both"/>
        <w:rPr>
          <w:szCs w:val="28"/>
        </w:rPr>
      </w:pPr>
      <w:r w:rsidRPr="00B35E6B">
        <w:rPr>
          <w:szCs w:val="28"/>
        </w:rPr>
        <w:t>19. При выявлении случаев, указанных в пункте 17 Порядка, департамент в срок не позднее 15 марта текущего финансового года направляет в адрес муниципального образования области согласованное с департаментом финансов Ярославской области требование о возврате средств местного бюджета в доход областного бюджета в срок до 01 апреля текущего финансового года.</w:t>
      </w:r>
    </w:p>
    <w:p w:rsidR="00DF6DC7" w:rsidRPr="00B35E6B" w:rsidRDefault="00DF6DC7" w:rsidP="00B35E6B">
      <w:pPr>
        <w:ind w:firstLine="709"/>
        <w:contextualSpacing/>
        <w:jc w:val="both"/>
        <w:rPr>
          <w:szCs w:val="28"/>
        </w:rPr>
      </w:pPr>
      <w:r w:rsidRPr="00B35E6B">
        <w:rPr>
          <w:szCs w:val="28"/>
        </w:rPr>
        <w:t>Департамент в срок не позднее 15 апреля текущего финансового года представляет в департамент финансов Ярославской области информацию о возврате (невозврате) муниципальным образованием области средств местного бюджета в областной бюджет в срок, установленный абзацем первым данного пункта.</w:t>
      </w:r>
    </w:p>
    <w:p w:rsidR="00DF6DC7" w:rsidRPr="00B35E6B" w:rsidRDefault="00DF6DC7" w:rsidP="00B35E6B">
      <w:pPr>
        <w:ind w:firstLine="709"/>
        <w:contextualSpacing/>
        <w:jc w:val="both"/>
        <w:rPr>
          <w:szCs w:val="28"/>
        </w:rPr>
      </w:pPr>
      <w:r w:rsidRPr="00B35E6B">
        <w:rPr>
          <w:szCs w:val="28"/>
        </w:rPr>
        <w:t xml:space="preserve">20. Средства, перечисленные из местного бюджета в областной бюджет в соответствии с </w:t>
      </w:r>
      <w:hyperlink w:anchor="P116" w:history="1">
        <w:r w:rsidRPr="00B35E6B">
          <w:rPr>
            <w:szCs w:val="28"/>
          </w:rPr>
          <w:t xml:space="preserve">пунктами </w:t>
        </w:r>
      </w:hyperlink>
      <w:r w:rsidRPr="00B35E6B">
        <w:rPr>
          <w:szCs w:val="28"/>
        </w:rPr>
        <w:t xml:space="preserve">17 и </w:t>
      </w:r>
      <w:hyperlink w:anchor="P117" w:history="1">
        <w:r w:rsidRPr="00B35E6B">
          <w:rPr>
            <w:szCs w:val="28"/>
          </w:rPr>
          <w:t>18</w:t>
        </w:r>
      </w:hyperlink>
      <w:r w:rsidRPr="00B35E6B">
        <w:rPr>
          <w:szCs w:val="28"/>
        </w:rPr>
        <w:t xml:space="preserve"> Порядка, зачисляются в дорожный фонд Ярославской области.</w:t>
      </w:r>
    </w:p>
    <w:p w:rsidR="00DF6DC7" w:rsidRPr="00B35E6B" w:rsidRDefault="00DF6DC7" w:rsidP="00B35E6B">
      <w:pPr>
        <w:ind w:firstLine="709"/>
        <w:contextualSpacing/>
        <w:jc w:val="both"/>
        <w:rPr>
          <w:szCs w:val="28"/>
        </w:rPr>
      </w:pPr>
      <w:r w:rsidRPr="00B35E6B">
        <w:rPr>
          <w:szCs w:val="28"/>
        </w:rPr>
        <w:t>21. Ответственность за нецелевое расходование субсидии возлагается на муниципальные образования области.</w:t>
      </w:r>
    </w:p>
    <w:p w:rsidR="00DF6DC7" w:rsidRPr="00B35E6B" w:rsidRDefault="00DF6DC7" w:rsidP="00B35E6B">
      <w:pPr>
        <w:ind w:firstLine="709"/>
        <w:contextualSpacing/>
        <w:jc w:val="both"/>
        <w:rPr>
          <w:szCs w:val="28"/>
        </w:rPr>
      </w:pPr>
      <w:r w:rsidRPr="00B35E6B">
        <w:rPr>
          <w:szCs w:val="28"/>
        </w:rPr>
        <w:t>В случае нецелевого использования субсидии к муниципальному образованию области применяются бюджетные меры принуждения, предусмотренные бюджетным законодательством Российской Федерации.</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xml:space="preserve">22. </w:t>
      </w:r>
      <w:proofErr w:type="gramStart"/>
      <w:r w:rsidRPr="00B35E6B">
        <w:rPr>
          <w:rFonts w:ascii="Times New Roman" w:hAnsi="Times New Roman" w:cs="Times New Roman"/>
          <w:sz w:val="28"/>
          <w:szCs w:val="28"/>
        </w:rPr>
        <w:t>Контроль за</w:t>
      </w:r>
      <w:proofErr w:type="gramEnd"/>
      <w:r w:rsidRPr="00B35E6B">
        <w:rPr>
          <w:rFonts w:ascii="Times New Roman" w:hAnsi="Times New Roman" w:cs="Times New Roman"/>
          <w:sz w:val="28"/>
          <w:szCs w:val="28"/>
        </w:rPr>
        <w:t xml:space="preserve"> соблюдением муниципальными образованиями области условий предоставления и расходования субсидии осуществляется департаментом и органом государственного финансового контроля Ярославской области.</w:t>
      </w:r>
    </w:p>
    <w:p w:rsidR="00DF6DC7" w:rsidRPr="00B35E6B" w:rsidRDefault="00DF6DC7" w:rsidP="00B35E6B">
      <w:pPr>
        <w:ind w:firstLine="709"/>
        <w:contextualSpacing/>
        <w:jc w:val="both"/>
        <w:rPr>
          <w:szCs w:val="28"/>
        </w:rPr>
      </w:pPr>
      <w:r w:rsidRPr="00B35E6B">
        <w:rPr>
          <w:szCs w:val="28"/>
        </w:rPr>
        <w:t xml:space="preserve">23. </w:t>
      </w:r>
      <w:proofErr w:type="gramStart"/>
      <w:r w:rsidRPr="00B35E6B">
        <w:rPr>
          <w:szCs w:val="28"/>
        </w:rPr>
        <w:t xml:space="preserve">Возврат из местного бюджета в доход областного бюджета остатков субсидии, не использованных по состоянию на 01 января текущего финансового года, осуществляется в соответствии </w:t>
      </w:r>
      <w:hyperlink r:id="rId10" w:history="1">
        <w:r w:rsidRPr="00B35E6B">
          <w:rPr>
            <w:szCs w:val="28"/>
          </w:rPr>
          <w:t>постановлением</w:t>
        </w:r>
      </w:hyperlink>
      <w:r w:rsidRPr="00B35E6B">
        <w:rPr>
          <w:szCs w:val="28"/>
        </w:rPr>
        <w:t xml:space="preserve"> Правительства области от 03.02.2017 №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w:t>
      </w:r>
      <w:proofErr w:type="gramEnd"/>
    </w:p>
    <w:p w:rsidR="00DF6DC7" w:rsidRPr="00B35E6B" w:rsidRDefault="00DF6DC7" w:rsidP="00B35E6B">
      <w:pPr>
        <w:ind w:firstLine="709"/>
        <w:contextualSpacing/>
        <w:jc w:val="both"/>
        <w:rPr>
          <w:szCs w:val="28"/>
        </w:rPr>
      </w:pPr>
      <w:proofErr w:type="gramStart"/>
      <w:r w:rsidRPr="00B35E6B">
        <w:rPr>
          <w:szCs w:val="28"/>
        </w:rPr>
        <w:t xml:space="preserve">В случае подтверждения наличия потребности в текущем году в остатках субсидии, не использованных по состоянию на 01 января текущего финансового года, в соответствии с </w:t>
      </w:r>
      <w:hyperlink r:id="rId11" w:history="1">
        <w:r w:rsidRPr="00B35E6B">
          <w:rPr>
            <w:szCs w:val="28"/>
          </w:rPr>
          <w:t>постановлением</w:t>
        </w:r>
      </w:hyperlink>
      <w:r w:rsidRPr="00B35E6B">
        <w:rPr>
          <w:szCs w:val="28"/>
        </w:rPr>
        <w:t xml:space="preserve"> Правительства области от 03.02.2017 №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 по согласованию с департаментом финансов Ярославской области действие</w:t>
      </w:r>
      <w:proofErr w:type="gramEnd"/>
      <w:r w:rsidRPr="00B35E6B">
        <w:rPr>
          <w:szCs w:val="28"/>
        </w:rPr>
        <w:t xml:space="preserve"> соглашения продлевается на очередной финансовый год путем заключения дополнительного соглашения.</w:t>
      </w:r>
    </w:p>
    <w:p w:rsidR="00DF6DC7" w:rsidRPr="00B35E6B" w:rsidRDefault="00DF6DC7" w:rsidP="00B35E6B">
      <w:pPr>
        <w:ind w:firstLine="709"/>
        <w:contextualSpacing/>
        <w:jc w:val="both"/>
        <w:rPr>
          <w:szCs w:val="28"/>
        </w:rPr>
      </w:pPr>
      <w:r w:rsidRPr="00B35E6B">
        <w:rPr>
          <w:szCs w:val="28"/>
        </w:rPr>
        <w:t xml:space="preserve"> </w:t>
      </w:r>
    </w:p>
    <w:p w:rsidR="00DF6DC7" w:rsidRPr="00B35E6B" w:rsidRDefault="00DF6DC7" w:rsidP="00B35E6B">
      <w:pPr>
        <w:contextualSpacing/>
        <w:jc w:val="both"/>
        <w:rPr>
          <w:szCs w:val="28"/>
        </w:rPr>
        <w:sectPr w:rsidR="00DF6DC7" w:rsidRPr="00B35E6B" w:rsidSect="00B35E6B">
          <w:headerReference w:type="default" r:id="rId12"/>
          <w:headerReference w:type="first" r:id="rId13"/>
          <w:pgSz w:w="11907" w:h="16840" w:code="9"/>
          <w:pgMar w:top="1134" w:right="851" w:bottom="1134" w:left="1701" w:header="624" w:footer="567" w:gutter="0"/>
          <w:cols w:space="720"/>
          <w:titlePg/>
          <w:docGrid w:linePitch="381"/>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444"/>
      </w:tblGrid>
      <w:tr w:rsidR="00DF6DC7" w:rsidRPr="00B35E6B" w:rsidTr="00131CF1">
        <w:tc>
          <w:tcPr>
            <w:tcW w:w="5070" w:type="dxa"/>
          </w:tcPr>
          <w:p w:rsidR="00DF6DC7" w:rsidRPr="00B35E6B" w:rsidRDefault="00DF6DC7" w:rsidP="00B35E6B">
            <w:pPr>
              <w:pStyle w:val="ConsPlusNormal"/>
              <w:contextualSpacing/>
              <w:jc w:val="right"/>
              <w:rPr>
                <w:rFonts w:ascii="Times New Roman" w:hAnsi="Times New Roman" w:cs="Times New Roman"/>
                <w:sz w:val="28"/>
                <w:szCs w:val="28"/>
              </w:rPr>
            </w:pPr>
          </w:p>
        </w:tc>
        <w:tc>
          <w:tcPr>
            <w:tcW w:w="4444" w:type="dxa"/>
          </w:tcPr>
          <w:p w:rsidR="00DF6DC7" w:rsidRPr="00B35E6B" w:rsidRDefault="00DF6DC7" w:rsidP="00B35E6B">
            <w:pPr>
              <w:pStyle w:val="ConsPlusNormal"/>
              <w:ind w:left="1168" w:hanging="1168"/>
              <w:contextualSpacing/>
              <w:rPr>
                <w:rFonts w:ascii="Times New Roman" w:hAnsi="Times New Roman" w:cs="Times New Roman"/>
                <w:sz w:val="28"/>
                <w:szCs w:val="28"/>
              </w:rPr>
            </w:pPr>
            <w:r w:rsidRPr="00B35E6B">
              <w:rPr>
                <w:rFonts w:ascii="Times New Roman" w:hAnsi="Times New Roman" w:cs="Times New Roman"/>
                <w:sz w:val="28"/>
                <w:szCs w:val="28"/>
              </w:rPr>
              <w:t>Приложение</w:t>
            </w:r>
          </w:p>
          <w:p w:rsidR="00DF6DC7" w:rsidRPr="00B35E6B" w:rsidRDefault="00DF6DC7" w:rsidP="00B35E6B">
            <w:pPr>
              <w:shd w:val="clear" w:color="auto" w:fill="FFFFFF"/>
              <w:spacing w:line="238" w:lineRule="auto"/>
              <w:contextualSpacing/>
              <w:rPr>
                <w:bCs/>
                <w:szCs w:val="28"/>
              </w:rPr>
            </w:pPr>
            <w:r w:rsidRPr="00B35E6B">
              <w:rPr>
                <w:szCs w:val="28"/>
              </w:rPr>
              <w:t xml:space="preserve">к </w:t>
            </w:r>
            <w:hyperlink w:anchor="P44" w:history="1">
              <w:r w:rsidRPr="00B35E6B">
                <w:rPr>
                  <w:szCs w:val="28"/>
                </w:rPr>
                <w:t>Порядку</w:t>
              </w:r>
            </w:hyperlink>
            <w:r w:rsidRPr="00B35E6B">
              <w:rPr>
                <w:szCs w:val="28"/>
              </w:rPr>
              <w:t xml:space="preserve"> </w:t>
            </w:r>
            <w:r w:rsidRPr="00B35E6B">
              <w:rPr>
                <w:bCs/>
                <w:szCs w:val="28"/>
              </w:rPr>
              <w:t xml:space="preserve">предоставления </w:t>
            </w:r>
          </w:p>
          <w:p w:rsidR="00DF6DC7" w:rsidRPr="00B35E6B" w:rsidRDefault="00DF6DC7" w:rsidP="00B35E6B">
            <w:pPr>
              <w:shd w:val="clear" w:color="auto" w:fill="FFFFFF"/>
              <w:spacing w:line="238" w:lineRule="auto"/>
              <w:contextualSpacing/>
              <w:rPr>
                <w:bCs/>
                <w:szCs w:val="28"/>
              </w:rPr>
            </w:pPr>
            <w:r w:rsidRPr="00B35E6B">
              <w:rPr>
                <w:bCs/>
                <w:szCs w:val="28"/>
              </w:rPr>
              <w:t xml:space="preserve">и распределения субсидии </w:t>
            </w:r>
          </w:p>
          <w:p w:rsidR="00DF6DC7" w:rsidRPr="00B35E6B" w:rsidRDefault="00DF6DC7" w:rsidP="00B35E6B">
            <w:pPr>
              <w:shd w:val="clear" w:color="auto" w:fill="FFFFFF"/>
              <w:spacing w:line="238" w:lineRule="auto"/>
              <w:contextualSpacing/>
              <w:rPr>
                <w:color w:val="212121"/>
                <w:szCs w:val="28"/>
              </w:rPr>
            </w:pPr>
            <w:r w:rsidRPr="00B35E6B">
              <w:rPr>
                <w:bCs/>
                <w:szCs w:val="28"/>
              </w:rPr>
              <w:t xml:space="preserve">на </w:t>
            </w:r>
            <w:r w:rsidRPr="00B35E6B">
              <w:rPr>
                <w:color w:val="212121"/>
                <w:szCs w:val="28"/>
              </w:rPr>
              <w:t xml:space="preserve">разработку </w:t>
            </w:r>
            <w:proofErr w:type="gramStart"/>
            <w:r w:rsidRPr="00B35E6B">
              <w:rPr>
                <w:color w:val="212121"/>
                <w:szCs w:val="28"/>
              </w:rPr>
              <w:t>проектной</w:t>
            </w:r>
            <w:proofErr w:type="gramEnd"/>
            <w:r w:rsidRPr="00B35E6B">
              <w:rPr>
                <w:color w:val="212121"/>
                <w:szCs w:val="28"/>
              </w:rPr>
              <w:t xml:space="preserve"> </w:t>
            </w:r>
          </w:p>
          <w:p w:rsidR="00DF6DC7" w:rsidRPr="00B35E6B" w:rsidRDefault="00DF6DC7" w:rsidP="00B35E6B">
            <w:pPr>
              <w:shd w:val="clear" w:color="auto" w:fill="FFFFFF"/>
              <w:spacing w:line="238" w:lineRule="auto"/>
              <w:contextualSpacing/>
              <w:rPr>
                <w:color w:val="212121"/>
                <w:szCs w:val="28"/>
              </w:rPr>
            </w:pPr>
            <w:r w:rsidRPr="00B35E6B">
              <w:rPr>
                <w:color w:val="212121"/>
                <w:szCs w:val="28"/>
              </w:rPr>
              <w:t xml:space="preserve">документации на </w:t>
            </w:r>
            <w:proofErr w:type="gramStart"/>
            <w:r w:rsidRPr="00B35E6B">
              <w:rPr>
                <w:color w:val="212121"/>
                <w:szCs w:val="28"/>
              </w:rPr>
              <w:t>капитальный</w:t>
            </w:r>
            <w:proofErr w:type="gramEnd"/>
            <w:r w:rsidRPr="00B35E6B">
              <w:rPr>
                <w:color w:val="212121"/>
                <w:szCs w:val="28"/>
              </w:rPr>
              <w:t xml:space="preserve"> </w:t>
            </w:r>
          </w:p>
          <w:p w:rsidR="00DF6DC7" w:rsidRPr="00B35E6B" w:rsidRDefault="00DF6DC7" w:rsidP="00B35E6B">
            <w:pPr>
              <w:shd w:val="clear" w:color="auto" w:fill="FFFFFF"/>
              <w:spacing w:line="238" w:lineRule="auto"/>
              <w:contextualSpacing/>
              <w:rPr>
                <w:bCs/>
                <w:szCs w:val="28"/>
              </w:rPr>
            </w:pPr>
            <w:r w:rsidRPr="00B35E6B">
              <w:rPr>
                <w:color w:val="212121"/>
                <w:szCs w:val="28"/>
              </w:rPr>
              <w:t xml:space="preserve">ремонт </w:t>
            </w:r>
            <w:proofErr w:type="gramStart"/>
            <w:r w:rsidRPr="00B35E6B">
              <w:rPr>
                <w:bCs/>
                <w:szCs w:val="28"/>
              </w:rPr>
              <w:t>уникальных</w:t>
            </w:r>
            <w:proofErr w:type="gramEnd"/>
            <w:r w:rsidRPr="00B35E6B">
              <w:rPr>
                <w:bCs/>
                <w:szCs w:val="28"/>
              </w:rPr>
              <w:t xml:space="preserve"> </w:t>
            </w:r>
          </w:p>
          <w:p w:rsidR="00DF6DC7" w:rsidRPr="00B35E6B" w:rsidRDefault="00DF6DC7" w:rsidP="00B35E6B">
            <w:pPr>
              <w:shd w:val="clear" w:color="auto" w:fill="FFFFFF"/>
              <w:spacing w:line="238" w:lineRule="auto"/>
              <w:contextualSpacing/>
              <w:rPr>
                <w:bCs/>
                <w:szCs w:val="28"/>
              </w:rPr>
            </w:pPr>
            <w:r w:rsidRPr="00B35E6B">
              <w:rPr>
                <w:bCs/>
                <w:szCs w:val="28"/>
              </w:rPr>
              <w:t xml:space="preserve">искусственных дорожных </w:t>
            </w:r>
          </w:p>
          <w:p w:rsidR="00DF6DC7" w:rsidRPr="00B35E6B" w:rsidRDefault="00DF6DC7" w:rsidP="00B35E6B">
            <w:pPr>
              <w:shd w:val="clear" w:color="auto" w:fill="FFFFFF"/>
              <w:spacing w:line="238" w:lineRule="auto"/>
              <w:contextualSpacing/>
              <w:rPr>
                <w:bCs/>
                <w:szCs w:val="28"/>
              </w:rPr>
            </w:pPr>
            <w:r w:rsidRPr="00B35E6B">
              <w:rPr>
                <w:bCs/>
                <w:szCs w:val="28"/>
              </w:rPr>
              <w:t xml:space="preserve">сооружений </w:t>
            </w:r>
          </w:p>
          <w:p w:rsidR="00DF6DC7" w:rsidRPr="00B35E6B" w:rsidRDefault="00DF6DC7" w:rsidP="00B35E6B">
            <w:pPr>
              <w:pStyle w:val="ConsPlusNormal"/>
              <w:ind w:left="1168"/>
              <w:contextualSpacing/>
              <w:rPr>
                <w:rFonts w:ascii="Times New Roman" w:hAnsi="Times New Roman" w:cs="Times New Roman"/>
                <w:sz w:val="28"/>
                <w:szCs w:val="28"/>
              </w:rPr>
            </w:pPr>
          </w:p>
        </w:tc>
      </w:tr>
    </w:tbl>
    <w:p w:rsidR="00DF6DC7" w:rsidRPr="00B35E6B" w:rsidRDefault="00DF6DC7" w:rsidP="00B35E6B">
      <w:pPr>
        <w:pStyle w:val="ConsPlusNormal"/>
        <w:contextualSpacing/>
        <w:jc w:val="right"/>
        <w:rPr>
          <w:rFonts w:ascii="Times New Roman" w:hAnsi="Times New Roman" w:cs="Times New Roman"/>
          <w:sz w:val="28"/>
          <w:szCs w:val="28"/>
        </w:rPr>
      </w:pPr>
    </w:p>
    <w:p w:rsidR="00DF6DC7" w:rsidRPr="00B35E6B" w:rsidRDefault="00DF6DC7" w:rsidP="00B35E6B">
      <w:pPr>
        <w:pStyle w:val="ConsPlusNormal"/>
        <w:contextualSpacing/>
        <w:jc w:val="center"/>
        <w:rPr>
          <w:rFonts w:ascii="Times New Roman" w:hAnsi="Times New Roman" w:cs="Times New Roman"/>
          <w:b/>
          <w:sz w:val="28"/>
          <w:szCs w:val="28"/>
        </w:rPr>
      </w:pPr>
      <w:r w:rsidRPr="00B35E6B">
        <w:rPr>
          <w:rFonts w:ascii="Times New Roman" w:hAnsi="Times New Roman" w:cs="Times New Roman"/>
          <w:b/>
          <w:sz w:val="28"/>
          <w:szCs w:val="28"/>
        </w:rPr>
        <w:t>ПОРЯДОК</w:t>
      </w:r>
    </w:p>
    <w:p w:rsidR="00DF6DC7" w:rsidRPr="00B35E6B" w:rsidRDefault="00DF6DC7" w:rsidP="00B35E6B">
      <w:pPr>
        <w:pStyle w:val="ConsPlusNormal"/>
        <w:contextualSpacing/>
        <w:jc w:val="center"/>
        <w:rPr>
          <w:rFonts w:ascii="Times New Roman" w:hAnsi="Times New Roman" w:cs="Times New Roman"/>
          <w:b/>
          <w:sz w:val="28"/>
          <w:szCs w:val="28"/>
        </w:rPr>
      </w:pPr>
      <w:r w:rsidRPr="00B35E6B">
        <w:rPr>
          <w:rFonts w:ascii="Times New Roman" w:hAnsi="Times New Roman" w:cs="Times New Roman"/>
          <w:b/>
          <w:sz w:val="28"/>
          <w:szCs w:val="28"/>
        </w:rPr>
        <w:t>оценки результативности и эффективности использования субсидии</w:t>
      </w:r>
    </w:p>
    <w:p w:rsidR="00DF6DC7" w:rsidRPr="00B35E6B" w:rsidRDefault="00DF6DC7" w:rsidP="00B35E6B">
      <w:pPr>
        <w:pStyle w:val="ConsPlusTitle"/>
        <w:contextualSpacing/>
        <w:jc w:val="center"/>
        <w:rPr>
          <w:rFonts w:ascii="Times New Roman" w:hAnsi="Times New Roman" w:cs="Times New Roman"/>
          <w:sz w:val="28"/>
          <w:szCs w:val="28"/>
        </w:rPr>
      </w:pPr>
      <w:r w:rsidRPr="00B35E6B">
        <w:rPr>
          <w:rFonts w:ascii="Times New Roman" w:hAnsi="Times New Roman" w:cs="Times New Roman"/>
          <w:sz w:val="28"/>
          <w:szCs w:val="28"/>
        </w:rPr>
        <w:t xml:space="preserve">на разработку проектной документации на капитальный ремонт </w:t>
      </w:r>
    </w:p>
    <w:p w:rsidR="00DF6DC7" w:rsidRPr="00B35E6B" w:rsidRDefault="00DF6DC7" w:rsidP="00B35E6B">
      <w:pPr>
        <w:pStyle w:val="ConsPlusTitle"/>
        <w:contextualSpacing/>
        <w:jc w:val="center"/>
        <w:rPr>
          <w:rFonts w:ascii="Times New Roman" w:hAnsi="Times New Roman" w:cs="Times New Roman"/>
          <w:sz w:val="28"/>
          <w:szCs w:val="28"/>
        </w:rPr>
      </w:pPr>
      <w:r w:rsidRPr="00B35E6B">
        <w:rPr>
          <w:rFonts w:ascii="Times New Roman" w:hAnsi="Times New Roman" w:cs="Times New Roman"/>
          <w:sz w:val="28"/>
          <w:szCs w:val="28"/>
        </w:rPr>
        <w:t>уникальных искусственных дорожных сооружений</w:t>
      </w:r>
    </w:p>
    <w:p w:rsidR="00DF6DC7" w:rsidRPr="00B35E6B" w:rsidRDefault="00DF6DC7" w:rsidP="00B35E6B">
      <w:pPr>
        <w:pStyle w:val="ConsPlusNormal"/>
        <w:contextualSpacing/>
        <w:jc w:val="center"/>
        <w:rPr>
          <w:rFonts w:ascii="Times New Roman" w:hAnsi="Times New Roman" w:cs="Times New Roman"/>
          <w:b/>
          <w:sz w:val="28"/>
          <w:szCs w:val="28"/>
        </w:rPr>
      </w:pPr>
    </w:p>
    <w:p w:rsidR="00DF6DC7" w:rsidRPr="00B35E6B" w:rsidRDefault="00DF6DC7" w:rsidP="00B35E6B">
      <w:pPr>
        <w:pStyle w:val="ConsPlusTitle"/>
        <w:ind w:firstLine="709"/>
        <w:contextualSpacing/>
        <w:jc w:val="both"/>
        <w:rPr>
          <w:rFonts w:ascii="Times New Roman" w:hAnsi="Times New Roman" w:cs="Times New Roman"/>
          <w:b w:val="0"/>
          <w:sz w:val="28"/>
          <w:szCs w:val="28"/>
        </w:rPr>
      </w:pPr>
      <w:r w:rsidRPr="00B35E6B">
        <w:rPr>
          <w:rFonts w:ascii="Times New Roman" w:hAnsi="Times New Roman" w:cs="Times New Roman"/>
          <w:b w:val="0"/>
          <w:sz w:val="28"/>
          <w:szCs w:val="28"/>
        </w:rPr>
        <w:t>Оценка эффективности использования субсидии на разработку проектной документации на капитальный ремонт уникальных искусственных дорожных сооружений (далее – субсидия) осуществляется департаментом дорожного хозяйства Ярославской области и органом местного самоуправления соответствующего муниципального образования области путем определения степени достижения ожидаемого результата, а также путем сравнения текущих значений показателя с его плановыми значениями.</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xml:space="preserve">Комплексный показатель эффективности использования субсидии оценивается путем соотнесения </w:t>
      </w:r>
      <w:proofErr w:type="gramStart"/>
      <w:r w:rsidRPr="00B35E6B">
        <w:rPr>
          <w:rFonts w:ascii="Times New Roman" w:hAnsi="Times New Roman" w:cs="Times New Roman"/>
          <w:sz w:val="28"/>
          <w:szCs w:val="28"/>
        </w:rPr>
        <w:t>степени достижения значений показателей результатов использования субсидии</w:t>
      </w:r>
      <w:proofErr w:type="gramEnd"/>
      <w:r w:rsidRPr="00B35E6B">
        <w:rPr>
          <w:rFonts w:ascii="Times New Roman" w:hAnsi="Times New Roman" w:cs="Times New Roman"/>
          <w:sz w:val="28"/>
          <w:szCs w:val="28"/>
        </w:rPr>
        <w:t xml:space="preserve"> с уровнем финансирования субсидии с начала текущего финансового года. Комплексный показатель эффективности использования субсидии (</w:t>
      </w:r>
      <w:proofErr w:type="spellStart"/>
      <w:proofErr w:type="gramStart"/>
      <w:r w:rsidRPr="00B35E6B">
        <w:rPr>
          <w:rFonts w:ascii="Times New Roman" w:hAnsi="Times New Roman" w:cs="Times New Roman"/>
          <w:sz w:val="28"/>
          <w:szCs w:val="28"/>
        </w:rPr>
        <w:t>R</w:t>
      </w:r>
      <w:proofErr w:type="gramEnd"/>
      <w:r w:rsidRPr="00B35E6B">
        <w:rPr>
          <w:rFonts w:ascii="Times New Roman" w:hAnsi="Times New Roman" w:cs="Times New Roman"/>
          <w:sz w:val="28"/>
          <w:szCs w:val="28"/>
          <w:vertAlign w:val="subscript"/>
        </w:rPr>
        <w:t>комп</w:t>
      </w:r>
      <w:proofErr w:type="spellEnd"/>
      <w:r w:rsidRPr="00B35E6B">
        <w:rPr>
          <w:rFonts w:ascii="Times New Roman" w:hAnsi="Times New Roman" w:cs="Times New Roman"/>
          <w:sz w:val="28"/>
          <w:szCs w:val="28"/>
          <w:vertAlign w:val="subscript"/>
        </w:rPr>
        <w:t>.</w:t>
      </w:r>
      <w:r w:rsidRPr="00B35E6B">
        <w:rPr>
          <w:rFonts w:ascii="Times New Roman" w:hAnsi="Times New Roman" w:cs="Times New Roman"/>
          <w:sz w:val="28"/>
          <w:szCs w:val="28"/>
        </w:rPr>
        <w:t>) рассчитывается по формуле:</w:t>
      </w:r>
    </w:p>
    <w:p w:rsidR="00DF6DC7" w:rsidRPr="00B35E6B" w:rsidRDefault="00DF6DC7" w:rsidP="00B35E6B">
      <w:pPr>
        <w:pStyle w:val="ConsPlusNormal"/>
        <w:ind w:firstLine="709"/>
        <w:contextualSpacing/>
        <w:jc w:val="both"/>
        <w:rPr>
          <w:rFonts w:ascii="Times New Roman" w:hAnsi="Times New Roman" w:cs="Times New Roman"/>
          <w:sz w:val="28"/>
          <w:szCs w:val="28"/>
        </w:rPr>
      </w:pPr>
    </w:p>
    <w:tbl>
      <w:tblPr>
        <w:tblStyle w:val="a5"/>
        <w:tblW w:w="0" w:type="auto"/>
        <w:jc w:val="center"/>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6"/>
        <w:gridCol w:w="500"/>
        <w:gridCol w:w="1645"/>
        <w:gridCol w:w="2008"/>
      </w:tblGrid>
      <w:tr w:rsidR="00DF6DC7" w:rsidRPr="00B35E6B" w:rsidTr="00131CF1">
        <w:trPr>
          <w:jc w:val="center"/>
        </w:trPr>
        <w:tc>
          <w:tcPr>
            <w:tcW w:w="1366" w:type="dxa"/>
            <w:vMerge w:val="restart"/>
            <w:vAlign w:val="center"/>
          </w:tcPr>
          <w:p w:rsidR="00DF6DC7" w:rsidRPr="00B35E6B" w:rsidRDefault="00DF6DC7" w:rsidP="00B35E6B">
            <w:pPr>
              <w:pStyle w:val="ConsPlusNormal"/>
              <w:ind w:right="-175"/>
              <w:contextualSpacing/>
              <w:jc w:val="center"/>
              <w:rPr>
                <w:rFonts w:ascii="Times New Roman" w:hAnsi="Times New Roman"/>
                <w:sz w:val="28"/>
                <w:szCs w:val="28"/>
              </w:rPr>
            </w:pPr>
            <w:proofErr w:type="spellStart"/>
            <w:proofErr w:type="gramStart"/>
            <w:r w:rsidRPr="00B35E6B">
              <w:rPr>
                <w:rFonts w:ascii="Times New Roman" w:hAnsi="Times New Roman"/>
                <w:sz w:val="28"/>
                <w:szCs w:val="28"/>
              </w:rPr>
              <w:t>R</w:t>
            </w:r>
            <w:proofErr w:type="gramEnd"/>
            <w:r w:rsidRPr="00B35E6B">
              <w:rPr>
                <w:rFonts w:ascii="Times New Roman" w:hAnsi="Times New Roman"/>
                <w:sz w:val="28"/>
                <w:szCs w:val="28"/>
                <w:vertAlign w:val="subscript"/>
              </w:rPr>
              <w:t>комп</w:t>
            </w:r>
            <w:proofErr w:type="spellEnd"/>
            <w:r w:rsidRPr="00B35E6B">
              <w:rPr>
                <w:rFonts w:ascii="Times New Roman" w:hAnsi="Times New Roman"/>
                <w:sz w:val="28"/>
                <w:szCs w:val="28"/>
                <w:vertAlign w:val="subscript"/>
              </w:rPr>
              <w:t>.</w:t>
            </w:r>
          </w:p>
        </w:tc>
        <w:tc>
          <w:tcPr>
            <w:tcW w:w="500" w:type="dxa"/>
            <w:vMerge w:val="restart"/>
            <w:vAlign w:val="center"/>
          </w:tcPr>
          <w:p w:rsidR="00DF6DC7" w:rsidRPr="00B35E6B" w:rsidRDefault="00DF6DC7" w:rsidP="00B35E6B">
            <w:pPr>
              <w:pStyle w:val="ConsPlusNormal"/>
              <w:ind w:left="-250" w:right="-108" w:firstLine="204"/>
              <w:contextualSpacing/>
              <w:jc w:val="center"/>
              <w:rPr>
                <w:rFonts w:ascii="Times New Roman" w:hAnsi="Times New Roman"/>
                <w:sz w:val="28"/>
                <w:szCs w:val="28"/>
                <w:lang w:val="en-US"/>
              </w:rPr>
            </w:pPr>
            <w:r w:rsidRPr="00B35E6B">
              <w:rPr>
                <w:rFonts w:ascii="Times New Roman" w:hAnsi="Times New Roman"/>
                <w:sz w:val="28"/>
                <w:szCs w:val="28"/>
                <w:lang w:val="en-US"/>
              </w:rPr>
              <w:t>=</w:t>
            </w:r>
          </w:p>
        </w:tc>
        <w:tc>
          <w:tcPr>
            <w:tcW w:w="1645" w:type="dxa"/>
            <w:tcBorders>
              <w:bottom w:val="single" w:sz="4" w:space="0" w:color="auto"/>
            </w:tcBorders>
          </w:tcPr>
          <w:p w:rsidR="00DF6DC7" w:rsidRPr="00B35E6B" w:rsidRDefault="00DF6DC7" w:rsidP="00B35E6B">
            <w:pPr>
              <w:pStyle w:val="ConsPlusNormal"/>
              <w:contextualSpacing/>
              <w:jc w:val="center"/>
              <w:rPr>
                <w:rFonts w:ascii="Times New Roman" w:hAnsi="Times New Roman"/>
                <w:sz w:val="28"/>
                <w:szCs w:val="28"/>
                <w:lang w:val="en-US"/>
              </w:rPr>
            </w:pPr>
            <w:r w:rsidRPr="00B35E6B">
              <w:rPr>
                <w:rFonts w:ascii="Times New Roman" w:hAnsi="Times New Roman"/>
                <w:sz w:val="28"/>
                <w:szCs w:val="28"/>
              </w:rPr>
              <w:t xml:space="preserve">∑ </w:t>
            </w:r>
            <w:proofErr w:type="spellStart"/>
            <w:r w:rsidRPr="00B35E6B">
              <w:rPr>
                <w:rFonts w:ascii="Times New Roman" w:hAnsi="Times New Roman"/>
                <w:sz w:val="28"/>
                <w:szCs w:val="28"/>
              </w:rPr>
              <w:t>R</w:t>
            </w:r>
            <w:r w:rsidRPr="00B35E6B">
              <w:rPr>
                <w:rFonts w:ascii="Times New Roman" w:hAnsi="Times New Roman"/>
                <w:sz w:val="28"/>
                <w:szCs w:val="28"/>
                <w:vertAlign w:val="subscript"/>
              </w:rPr>
              <w:t>i</w:t>
            </w:r>
            <w:proofErr w:type="spellEnd"/>
          </w:p>
        </w:tc>
        <w:tc>
          <w:tcPr>
            <w:tcW w:w="2008" w:type="dxa"/>
            <w:vMerge w:val="restart"/>
            <w:vAlign w:val="center"/>
          </w:tcPr>
          <w:p w:rsidR="00DF6DC7" w:rsidRPr="00B35E6B" w:rsidRDefault="00DF6DC7" w:rsidP="00B35E6B">
            <w:pPr>
              <w:pStyle w:val="ConsPlusNormal"/>
              <w:ind w:right="26" w:firstLine="42"/>
              <w:contextualSpacing/>
              <w:rPr>
                <w:rFonts w:ascii="Times New Roman" w:hAnsi="Times New Roman"/>
                <w:sz w:val="28"/>
                <w:szCs w:val="28"/>
              </w:rPr>
            </w:pPr>
            <w:r w:rsidRPr="00B35E6B">
              <w:rPr>
                <w:rFonts w:ascii="Times New Roman" w:hAnsi="Times New Roman"/>
                <w:sz w:val="28"/>
                <w:szCs w:val="28"/>
                <w:lang w:val="en-US"/>
              </w:rPr>
              <w:t xml:space="preserve">× 100 </w:t>
            </w:r>
            <w:r w:rsidRPr="00B35E6B">
              <w:rPr>
                <w:rFonts w:ascii="Times New Roman" w:hAnsi="Times New Roman"/>
                <w:sz w:val="28"/>
                <w:szCs w:val="28"/>
              </w:rPr>
              <w:t>% ,</w:t>
            </w:r>
          </w:p>
        </w:tc>
      </w:tr>
      <w:tr w:rsidR="00DF6DC7" w:rsidRPr="00B35E6B" w:rsidTr="00131CF1">
        <w:trPr>
          <w:jc w:val="center"/>
        </w:trPr>
        <w:tc>
          <w:tcPr>
            <w:tcW w:w="1366" w:type="dxa"/>
            <w:vMerge/>
          </w:tcPr>
          <w:p w:rsidR="00DF6DC7" w:rsidRPr="00B35E6B" w:rsidRDefault="00DF6DC7" w:rsidP="00B35E6B">
            <w:pPr>
              <w:pStyle w:val="ConsPlusNormal"/>
              <w:contextualSpacing/>
              <w:jc w:val="center"/>
              <w:rPr>
                <w:rFonts w:ascii="Times New Roman" w:hAnsi="Times New Roman"/>
                <w:sz w:val="28"/>
                <w:szCs w:val="28"/>
                <w:lang w:val="en-US"/>
              </w:rPr>
            </w:pPr>
          </w:p>
        </w:tc>
        <w:tc>
          <w:tcPr>
            <w:tcW w:w="500" w:type="dxa"/>
            <w:vMerge/>
          </w:tcPr>
          <w:p w:rsidR="00DF6DC7" w:rsidRPr="00B35E6B" w:rsidRDefault="00DF6DC7" w:rsidP="00B35E6B">
            <w:pPr>
              <w:pStyle w:val="ConsPlusNormal"/>
              <w:contextualSpacing/>
              <w:jc w:val="center"/>
              <w:rPr>
                <w:rFonts w:ascii="Times New Roman" w:hAnsi="Times New Roman"/>
                <w:sz w:val="28"/>
                <w:szCs w:val="28"/>
                <w:lang w:val="en-US"/>
              </w:rPr>
            </w:pPr>
          </w:p>
        </w:tc>
        <w:tc>
          <w:tcPr>
            <w:tcW w:w="1645" w:type="dxa"/>
            <w:tcBorders>
              <w:top w:val="single" w:sz="4" w:space="0" w:color="auto"/>
            </w:tcBorders>
          </w:tcPr>
          <w:p w:rsidR="00DF6DC7" w:rsidRPr="00B35E6B" w:rsidRDefault="00DF6DC7" w:rsidP="00B35E6B">
            <w:pPr>
              <w:pStyle w:val="ConsPlusNormal"/>
              <w:ind w:right="-174" w:firstLine="34"/>
              <w:contextualSpacing/>
              <w:jc w:val="center"/>
              <w:rPr>
                <w:rFonts w:ascii="Times New Roman" w:hAnsi="Times New Roman"/>
                <w:sz w:val="28"/>
                <w:szCs w:val="28"/>
                <w:lang w:val="en-US"/>
              </w:rPr>
            </w:pPr>
            <w:proofErr w:type="spellStart"/>
            <w:proofErr w:type="gramStart"/>
            <w:r w:rsidRPr="00B35E6B">
              <w:rPr>
                <w:rFonts w:ascii="Times New Roman" w:hAnsi="Times New Roman"/>
                <w:sz w:val="28"/>
                <w:szCs w:val="28"/>
              </w:rPr>
              <w:t>F</w:t>
            </w:r>
            <w:proofErr w:type="gramEnd"/>
            <w:r w:rsidRPr="00B35E6B">
              <w:rPr>
                <w:rFonts w:ascii="Times New Roman" w:hAnsi="Times New Roman"/>
                <w:sz w:val="28"/>
                <w:szCs w:val="28"/>
                <w:vertAlign w:val="subscript"/>
              </w:rPr>
              <w:t>тек</w:t>
            </w:r>
            <w:proofErr w:type="spellEnd"/>
            <w:r w:rsidRPr="00B35E6B">
              <w:rPr>
                <w:rFonts w:ascii="Times New Roman" w:hAnsi="Times New Roman"/>
                <w:sz w:val="28"/>
                <w:szCs w:val="28"/>
                <w:vertAlign w:val="subscript"/>
              </w:rPr>
              <w:t xml:space="preserve">. </w:t>
            </w:r>
            <w:r w:rsidRPr="00B35E6B">
              <w:rPr>
                <w:rFonts w:ascii="Times New Roman" w:hAnsi="Times New Roman"/>
                <w:sz w:val="28"/>
                <w:szCs w:val="28"/>
                <w:lang w:val="en-US"/>
              </w:rPr>
              <w:t>/</w:t>
            </w:r>
            <w:r w:rsidRPr="00B35E6B">
              <w:rPr>
                <w:rFonts w:ascii="Times New Roman" w:hAnsi="Times New Roman"/>
                <w:sz w:val="28"/>
                <w:szCs w:val="28"/>
              </w:rPr>
              <w:t xml:space="preserve"> </w:t>
            </w:r>
            <w:proofErr w:type="spellStart"/>
            <w:proofErr w:type="gramStart"/>
            <w:r w:rsidRPr="00B35E6B">
              <w:rPr>
                <w:rFonts w:ascii="Times New Roman" w:hAnsi="Times New Roman"/>
                <w:sz w:val="28"/>
                <w:szCs w:val="28"/>
              </w:rPr>
              <w:t>F</w:t>
            </w:r>
            <w:proofErr w:type="gramEnd"/>
            <w:r w:rsidRPr="00B35E6B">
              <w:rPr>
                <w:rFonts w:ascii="Times New Roman" w:hAnsi="Times New Roman"/>
                <w:sz w:val="28"/>
                <w:szCs w:val="28"/>
                <w:vertAlign w:val="subscript"/>
              </w:rPr>
              <w:t>план</w:t>
            </w:r>
            <w:proofErr w:type="spellEnd"/>
            <w:r w:rsidRPr="00B35E6B">
              <w:rPr>
                <w:rFonts w:ascii="Times New Roman" w:hAnsi="Times New Roman"/>
                <w:sz w:val="28"/>
                <w:szCs w:val="28"/>
                <w:vertAlign w:val="subscript"/>
              </w:rPr>
              <w:t>.</w:t>
            </w:r>
          </w:p>
        </w:tc>
        <w:tc>
          <w:tcPr>
            <w:tcW w:w="2008" w:type="dxa"/>
            <w:vMerge/>
          </w:tcPr>
          <w:p w:rsidR="00DF6DC7" w:rsidRPr="00B35E6B" w:rsidRDefault="00DF6DC7" w:rsidP="00B35E6B">
            <w:pPr>
              <w:pStyle w:val="ConsPlusNormal"/>
              <w:contextualSpacing/>
              <w:jc w:val="center"/>
              <w:rPr>
                <w:rFonts w:ascii="Times New Roman" w:hAnsi="Times New Roman"/>
                <w:sz w:val="28"/>
                <w:szCs w:val="28"/>
                <w:lang w:val="en-US"/>
              </w:rPr>
            </w:pPr>
          </w:p>
        </w:tc>
      </w:tr>
    </w:tbl>
    <w:p w:rsidR="00DF6DC7" w:rsidRPr="00B35E6B" w:rsidRDefault="00DF6DC7" w:rsidP="00B35E6B">
      <w:pPr>
        <w:pStyle w:val="ConsPlusNormal"/>
        <w:contextualSpacing/>
        <w:jc w:val="both"/>
        <w:rPr>
          <w:rFonts w:ascii="Times New Roman" w:hAnsi="Times New Roman" w:cs="Times New Roman"/>
          <w:sz w:val="28"/>
          <w:szCs w:val="28"/>
        </w:rPr>
      </w:pPr>
      <w:r w:rsidRPr="00B35E6B">
        <w:rPr>
          <w:rFonts w:ascii="Times New Roman" w:hAnsi="Times New Roman" w:cs="Times New Roman"/>
          <w:sz w:val="28"/>
          <w:szCs w:val="28"/>
        </w:rPr>
        <w:t>где:</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 xml:space="preserve">∑ </w:t>
      </w:r>
      <w:proofErr w:type="spellStart"/>
      <w:r w:rsidRPr="00B35E6B">
        <w:rPr>
          <w:rFonts w:ascii="Times New Roman" w:hAnsi="Times New Roman" w:cs="Times New Roman"/>
          <w:sz w:val="28"/>
          <w:szCs w:val="28"/>
        </w:rPr>
        <w:t>R</w:t>
      </w:r>
      <w:r w:rsidRPr="00B35E6B">
        <w:rPr>
          <w:rFonts w:ascii="Times New Roman" w:hAnsi="Times New Roman" w:cs="Times New Roman"/>
          <w:sz w:val="28"/>
          <w:szCs w:val="28"/>
          <w:vertAlign w:val="subscript"/>
        </w:rPr>
        <w:t>i</w:t>
      </w:r>
      <w:proofErr w:type="spellEnd"/>
      <w:r w:rsidRPr="00B35E6B">
        <w:rPr>
          <w:rFonts w:ascii="Times New Roman" w:hAnsi="Times New Roman" w:cs="Times New Roman"/>
          <w:sz w:val="28"/>
          <w:szCs w:val="28"/>
        </w:rPr>
        <w:t xml:space="preserve"> – сумма результативности использования субсидии;</w:t>
      </w:r>
    </w:p>
    <w:p w:rsidR="00DF6DC7" w:rsidRPr="00B35E6B" w:rsidRDefault="00DF6DC7" w:rsidP="00B35E6B">
      <w:pPr>
        <w:pStyle w:val="ConsPlusNormal"/>
        <w:ind w:firstLine="709"/>
        <w:contextualSpacing/>
        <w:jc w:val="both"/>
        <w:rPr>
          <w:rFonts w:ascii="Times New Roman" w:hAnsi="Times New Roman" w:cs="Times New Roman"/>
          <w:sz w:val="28"/>
          <w:szCs w:val="28"/>
        </w:rPr>
      </w:pPr>
      <w:proofErr w:type="spellStart"/>
      <w:proofErr w:type="gramStart"/>
      <w:r w:rsidRPr="00B35E6B">
        <w:rPr>
          <w:rFonts w:ascii="Times New Roman" w:hAnsi="Times New Roman" w:cs="Times New Roman"/>
          <w:sz w:val="28"/>
          <w:szCs w:val="28"/>
        </w:rPr>
        <w:t>F</w:t>
      </w:r>
      <w:proofErr w:type="gramEnd"/>
      <w:r w:rsidRPr="00B35E6B">
        <w:rPr>
          <w:rFonts w:ascii="Times New Roman" w:hAnsi="Times New Roman" w:cs="Times New Roman"/>
          <w:sz w:val="28"/>
          <w:szCs w:val="28"/>
          <w:vertAlign w:val="subscript"/>
        </w:rPr>
        <w:t>тек</w:t>
      </w:r>
      <w:proofErr w:type="spellEnd"/>
      <w:r w:rsidRPr="00B35E6B">
        <w:rPr>
          <w:rFonts w:ascii="Times New Roman" w:hAnsi="Times New Roman" w:cs="Times New Roman"/>
          <w:sz w:val="28"/>
          <w:szCs w:val="28"/>
          <w:vertAlign w:val="subscript"/>
        </w:rPr>
        <w:t>.</w:t>
      </w:r>
      <w:r w:rsidRPr="00B35E6B">
        <w:rPr>
          <w:rFonts w:ascii="Times New Roman" w:hAnsi="Times New Roman" w:cs="Times New Roman"/>
          <w:sz w:val="28"/>
          <w:szCs w:val="28"/>
        </w:rPr>
        <w:t xml:space="preserve"> – сумма предоставленной субсидии на отчетную дату;</w:t>
      </w:r>
    </w:p>
    <w:p w:rsidR="00DF6DC7" w:rsidRPr="00B35E6B" w:rsidRDefault="00DF6DC7" w:rsidP="00B35E6B">
      <w:pPr>
        <w:pStyle w:val="ConsPlusNormal"/>
        <w:ind w:firstLine="709"/>
        <w:contextualSpacing/>
        <w:jc w:val="both"/>
        <w:rPr>
          <w:rFonts w:ascii="Times New Roman" w:hAnsi="Times New Roman" w:cs="Times New Roman"/>
          <w:sz w:val="28"/>
          <w:szCs w:val="28"/>
        </w:rPr>
      </w:pPr>
      <w:proofErr w:type="spellStart"/>
      <w:proofErr w:type="gramStart"/>
      <w:r w:rsidRPr="00B35E6B">
        <w:rPr>
          <w:rFonts w:ascii="Times New Roman" w:hAnsi="Times New Roman" w:cs="Times New Roman"/>
          <w:sz w:val="28"/>
          <w:szCs w:val="28"/>
        </w:rPr>
        <w:t>F</w:t>
      </w:r>
      <w:proofErr w:type="gramEnd"/>
      <w:r w:rsidRPr="00B35E6B">
        <w:rPr>
          <w:rFonts w:ascii="Times New Roman" w:hAnsi="Times New Roman" w:cs="Times New Roman"/>
          <w:sz w:val="28"/>
          <w:szCs w:val="28"/>
          <w:vertAlign w:val="subscript"/>
        </w:rPr>
        <w:t>план</w:t>
      </w:r>
      <w:proofErr w:type="spellEnd"/>
      <w:r w:rsidRPr="00B35E6B">
        <w:rPr>
          <w:rFonts w:ascii="Times New Roman" w:hAnsi="Times New Roman" w:cs="Times New Roman"/>
          <w:sz w:val="28"/>
          <w:szCs w:val="28"/>
          <w:vertAlign w:val="subscript"/>
        </w:rPr>
        <w:t>.</w:t>
      </w:r>
      <w:r w:rsidRPr="00B35E6B">
        <w:rPr>
          <w:rFonts w:ascii="Times New Roman" w:hAnsi="Times New Roman" w:cs="Times New Roman"/>
          <w:sz w:val="28"/>
          <w:szCs w:val="28"/>
        </w:rPr>
        <w:t xml:space="preserve"> – плановая сумма предоставления субсидии.</w:t>
      </w:r>
    </w:p>
    <w:p w:rsidR="00DF6DC7" w:rsidRPr="00B35E6B" w:rsidRDefault="00DF6DC7" w:rsidP="00B35E6B">
      <w:pPr>
        <w:pStyle w:val="ConsPlusNormal"/>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Результативность использования субсидии (</w:t>
      </w:r>
      <w:proofErr w:type="spellStart"/>
      <w:r w:rsidRPr="00B35E6B">
        <w:rPr>
          <w:rFonts w:ascii="Times New Roman" w:hAnsi="Times New Roman" w:cs="Times New Roman"/>
          <w:sz w:val="28"/>
          <w:szCs w:val="28"/>
        </w:rPr>
        <w:t>Ri</w:t>
      </w:r>
      <w:proofErr w:type="spellEnd"/>
      <w:r w:rsidRPr="00B35E6B">
        <w:rPr>
          <w:rFonts w:ascii="Times New Roman" w:hAnsi="Times New Roman" w:cs="Times New Roman"/>
          <w:sz w:val="28"/>
          <w:szCs w:val="28"/>
        </w:rPr>
        <w:t>) рассчитывается по формуле:</w:t>
      </w:r>
    </w:p>
    <w:p w:rsidR="00DF6DC7" w:rsidRPr="00B35E6B" w:rsidRDefault="00DF6DC7" w:rsidP="00B35E6B">
      <w:pPr>
        <w:pStyle w:val="ConsPlusNormal"/>
        <w:ind w:firstLine="709"/>
        <w:contextualSpacing/>
        <w:jc w:val="both"/>
        <w:rPr>
          <w:rFonts w:ascii="Times New Roman" w:hAnsi="Times New Roman" w:cs="Times New Roman"/>
          <w:sz w:val="28"/>
          <w:szCs w:val="28"/>
        </w:rPr>
      </w:pPr>
    </w:p>
    <w:tbl>
      <w:tblPr>
        <w:tblStyle w:val="a5"/>
        <w:tblW w:w="0" w:type="auto"/>
        <w:jc w:val="center"/>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55"/>
        <w:gridCol w:w="1020"/>
        <w:gridCol w:w="851"/>
        <w:gridCol w:w="712"/>
      </w:tblGrid>
      <w:tr w:rsidR="00DF6DC7" w:rsidRPr="00B35E6B" w:rsidTr="00131CF1">
        <w:trPr>
          <w:jc w:val="center"/>
        </w:trPr>
        <w:tc>
          <w:tcPr>
            <w:tcW w:w="851" w:type="dxa"/>
            <w:vMerge w:val="restart"/>
            <w:vAlign w:val="center"/>
          </w:tcPr>
          <w:p w:rsidR="00DF6DC7" w:rsidRPr="00B35E6B" w:rsidRDefault="00DF6DC7" w:rsidP="00B35E6B">
            <w:pPr>
              <w:pStyle w:val="ConsPlusNormal"/>
              <w:ind w:right="-175"/>
              <w:contextualSpacing/>
              <w:jc w:val="center"/>
              <w:rPr>
                <w:rFonts w:ascii="Times New Roman" w:hAnsi="Times New Roman" w:cs="Times New Roman"/>
                <w:sz w:val="28"/>
                <w:szCs w:val="28"/>
              </w:rPr>
            </w:pPr>
            <w:proofErr w:type="spellStart"/>
            <w:r w:rsidRPr="00B35E6B">
              <w:rPr>
                <w:rFonts w:ascii="Times New Roman" w:hAnsi="Times New Roman" w:cs="Times New Roman"/>
                <w:sz w:val="28"/>
                <w:szCs w:val="28"/>
              </w:rPr>
              <w:t>Ri</w:t>
            </w:r>
            <w:proofErr w:type="spellEnd"/>
          </w:p>
        </w:tc>
        <w:tc>
          <w:tcPr>
            <w:tcW w:w="255" w:type="dxa"/>
            <w:vMerge w:val="restart"/>
            <w:vAlign w:val="center"/>
          </w:tcPr>
          <w:p w:rsidR="00DF6DC7" w:rsidRPr="00B35E6B" w:rsidRDefault="00DF6DC7" w:rsidP="00B35E6B">
            <w:pPr>
              <w:pStyle w:val="ConsPlusNormal"/>
              <w:ind w:left="-250" w:right="-108" w:firstLine="250"/>
              <w:contextualSpacing/>
              <w:jc w:val="center"/>
              <w:rPr>
                <w:rFonts w:ascii="Times New Roman" w:hAnsi="Times New Roman" w:cs="Times New Roman"/>
                <w:sz w:val="28"/>
                <w:szCs w:val="28"/>
              </w:rPr>
            </w:pPr>
            <w:r w:rsidRPr="00B35E6B">
              <w:rPr>
                <w:rFonts w:ascii="Times New Roman" w:hAnsi="Times New Roman" w:cs="Times New Roman"/>
                <w:sz w:val="28"/>
                <w:szCs w:val="28"/>
              </w:rPr>
              <w:t>=</w:t>
            </w:r>
          </w:p>
        </w:tc>
        <w:tc>
          <w:tcPr>
            <w:tcW w:w="1020" w:type="dxa"/>
            <w:vMerge w:val="restart"/>
            <w:vAlign w:val="center"/>
          </w:tcPr>
          <w:p w:rsidR="00DF6DC7" w:rsidRPr="00B35E6B" w:rsidRDefault="00DF6DC7" w:rsidP="00B35E6B">
            <w:pPr>
              <w:pStyle w:val="ConsPlusNormal"/>
              <w:ind w:left="-675" w:right="-149" w:firstLine="675"/>
              <w:contextualSpacing/>
              <w:jc w:val="center"/>
              <w:rPr>
                <w:rFonts w:ascii="Times New Roman" w:hAnsi="Times New Roman" w:cs="Times New Roman"/>
                <w:sz w:val="28"/>
                <w:szCs w:val="28"/>
              </w:rPr>
            </w:pPr>
            <w:proofErr w:type="spellStart"/>
            <w:r w:rsidRPr="00B35E6B">
              <w:rPr>
                <w:rFonts w:ascii="Times New Roman" w:hAnsi="Times New Roman" w:cs="Times New Roman"/>
                <w:sz w:val="28"/>
                <w:szCs w:val="28"/>
              </w:rPr>
              <w:t>K</w:t>
            </w:r>
            <w:r w:rsidRPr="00B35E6B">
              <w:rPr>
                <w:rFonts w:ascii="Times New Roman" w:hAnsi="Times New Roman" w:cs="Times New Roman"/>
                <w:sz w:val="28"/>
                <w:szCs w:val="28"/>
                <w:vertAlign w:val="subscript"/>
              </w:rPr>
              <w:t>i</w:t>
            </w:r>
            <w:proofErr w:type="spellEnd"/>
            <w:r w:rsidRPr="00B35E6B">
              <w:rPr>
                <w:rFonts w:ascii="Times New Roman" w:hAnsi="Times New Roman" w:cs="Times New Roman"/>
                <w:sz w:val="28"/>
                <w:szCs w:val="28"/>
                <w:vertAlign w:val="subscript"/>
              </w:rPr>
              <w:t xml:space="preserve">  </w:t>
            </w:r>
            <w:r w:rsidRPr="00B35E6B">
              <w:rPr>
                <w:rFonts w:ascii="Times New Roman" w:hAnsi="Times New Roman"/>
                <w:sz w:val="28"/>
                <w:szCs w:val="28"/>
              </w:rPr>
              <w:t>×</w:t>
            </w:r>
          </w:p>
        </w:tc>
        <w:tc>
          <w:tcPr>
            <w:tcW w:w="851" w:type="dxa"/>
            <w:tcBorders>
              <w:bottom w:val="single" w:sz="4" w:space="0" w:color="auto"/>
            </w:tcBorders>
          </w:tcPr>
          <w:p w:rsidR="00DF6DC7" w:rsidRPr="00B35E6B" w:rsidRDefault="00DF6DC7" w:rsidP="00B35E6B">
            <w:pPr>
              <w:pStyle w:val="ConsPlusNormal"/>
              <w:ind w:left="-250" w:firstLine="250"/>
              <w:contextualSpacing/>
              <w:rPr>
                <w:rFonts w:ascii="Times New Roman" w:hAnsi="Times New Roman" w:cs="Times New Roman"/>
                <w:sz w:val="28"/>
                <w:szCs w:val="28"/>
              </w:rPr>
            </w:pPr>
            <w:proofErr w:type="spellStart"/>
            <w:r w:rsidRPr="00B35E6B">
              <w:rPr>
                <w:rFonts w:ascii="Times New Roman" w:hAnsi="Times New Roman" w:cs="Times New Roman"/>
                <w:sz w:val="28"/>
                <w:szCs w:val="28"/>
              </w:rPr>
              <w:t>X</w:t>
            </w:r>
            <w:r w:rsidRPr="00B35E6B">
              <w:rPr>
                <w:rFonts w:ascii="Times New Roman" w:hAnsi="Times New Roman" w:cs="Times New Roman"/>
                <w:sz w:val="28"/>
                <w:szCs w:val="28"/>
                <w:vertAlign w:val="subscript"/>
              </w:rPr>
              <w:t>i</w:t>
            </w:r>
            <w:proofErr w:type="spellEnd"/>
            <w:r w:rsidRPr="00B35E6B">
              <w:rPr>
                <w:rFonts w:ascii="Times New Roman" w:hAnsi="Times New Roman" w:cs="Times New Roman"/>
                <w:sz w:val="28"/>
                <w:szCs w:val="28"/>
              </w:rPr>
              <w:t xml:space="preserve"> </w:t>
            </w:r>
            <w:r w:rsidRPr="00B35E6B">
              <w:rPr>
                <w:rFonts w:ascii="Times New Roman" w:hAnsi="Times New Roman" w:cs="Times New Roman"/>
                <w:sz w:val="28"/>
                <w:szCs w:val="28"/>
                <w:vertAlign w:val="subscript"/>
              </w:rPr>
              <w:t>тек.</w:t>
            </w:r>
          </w:p>
        </w:tc>
        <w:tc>
          <w:tcPr>
            <w:tcW w:w="712" w:type="dxa"/>
            <w:vMerge w:val="restart"/>
            <w:tcBorders>
              <w:bottom w:val="single" w:sz="4" w:space="0" w:color="auto"/>
            </w:tcBorders>
            <w:vAlign w:val="center"/>
          </w:tcPr>
          <w:p w:rsidR="00DF6DC7" w:rsidRPr="00B35E6B" w:rsidRDefault="00DF6DC7" w:rsidP="00B35E6B">
            <w:pPr>
              <w:pStyle w:val="ConsPlusNormal"/>
              <w:ind w:left="-82" w:hanging="26"/>
              <w:contextualSpacing/>
              <w:rPr>
                <w:rFonts w:ascii="Times New Roman" w:hAnsi="Times New Roman" w:cs="Times New Roman"/>
                <w:sz w:val="28"/>
                <w:szCs w:val="28"/>
              </w:rPr>
            </w:pPr>
            <w:r w:rsidRPr="00B35E6B">
              <w:rPr>
                <w:rFonts w:ascii="Times New Roman" w:hAnsi="Times New Roman" w:cs="Times New Roman"/>
                <w:sz w:val="28"/>
                <w:szCs w:val="28"/>
              </w:rPr>
              <w:t>,</w:t>
            </w:r>
          </w:p>
        </w:tc>
      </w:tr>
      <w:tr w:rsidR="00DF6DC7" w:rsidRPr="00B35E6B" w:rsidTr="00131CF1">
        <w:trPr>
          <w:jc w:val="center"/>
        </w:trPr>
        <w:tc>
          <w:tcPr>
            <w:tcW w:w="851" w:type="dxa"/>
            <w:vMerge/>
          </w:tcPr>
          <w:p w:rsidR="00DF6DC7" w:rsidRPr="00B35E6B" w:rsidRDefault="00DF6DC7" w:rsidP="00B35E6B">
            <w:pPr>
              <w:pStyle w:val="ConsPlusNormal"/>
              <w:contextualSpacing/>
              <w:jc w:val="center"/>
              <w:rPr>
                <w:rFonts w:ascii="Times New Roman" w:hAnsi="Times New Roman" w:cs="Times New Roman"/>
                <w:sz w:val="28"/>
                <w:szCs w:val="28"/>
              </w:rPr>
            </w:pPr>
          </w:p>
        </w:tc>
        <w:tc>
          <w:tcPr>
            <w:tcW w:w="255" w:type="dxa"/>
            <w:vMerge/>
          </w:tcPr>
          <w:p w:rsidR="00DF6DC7" w:rsidRPr="00B35E6B" w:rsidRDefault="00DF6DC7" w:rsidP="00B35E6B">
            <w:pPr>
              <w:pStyle w:val="ConsPlusNormal"/>
              <w:contextualSpacing/>
              <w:jc w:val="center"/>
              <w:rPr>
                <w:rFonts w:ascii="Times New Roman" w:hAnsi="Times New Roman" w:cs="Times New Roman"/>
                <w:sz w:val="28"/>
                <w:szCs w:val="28"/>
              </w:rPr>
            </w:pPr>
          </w:p>
        </w:tc>
        <w:tc>
          <w:tcPr>
            <w:tcW w:w="1020" w:type="dxa"/>
            <w:vMerge/>
          </w:tcPr>
          <w:p w:rsidR="00DF6DC7" w:rsidRPr="00B35E6B" w:rsidRDefault="00DF6DC7" w:rsidP="00B35E6B">
            <w:pPr>
              <w:pStyle w:val="ConsPlusNormal"/>
              <w:ind w:right="-174"/>
              <w:contextualSpacing/>
              <w:jc w:val="center"/>
              <w:rPr>
                <w:rFonts w:ascii="Times New Roman" w:hAnsi="Times New Roman" w:cs="Times New Roman"/>
                <w:sz w:val="28"/>
                <w:szCs w:val="28"/>
              </w:rPr>
            </w:pPr>
          </w:p>
        </w:tc>
        <w:tc>
          <w:tcPr>
            <w:tcW w:w="851" w:type="dxa"/>
            <w:tcBorders>
              <w:top w:val="single" w:sz="4" w:space="0" w:color="auto"/>
            </w:tcBorders>
          </w:tcPr>
          <w:p w:rsidR="00DF6DC7" w:rsidRPr="00B35E6B" w:rsidRDefault="00DF6DC7" w:rsidP="00B35E6B">
            <w:pPr>
              <w:pStyle w:val="ConsPlusNormal"/>
              <w:ind w:right="-174" w:firstLine="34"/>
              <w:contextualSpacing/>
              <w:rPr>
                <w:rFonts w:ascii="Times New Roman" w:hAnsi="Times New Roman" w:cs="Times New Roman"/>
                <w:sz w:val="28"/>
                <w:szCs w:val="28"/>
              </w:rPr>
            </w:pPr>
            <w:proofErr w:type="spellStart"/>
            <w:r w:rsidRPr="00B35E6B">
              <w:rPr>
                <w:rFonts w:ascii="Times New Roman" w:hAnsi="Times New Roman" w:cs="Times New Roman"/>
                <w:sz w:val="28"/>
                <w:szCs w:val="28"/>
              </w:rPr>
              <w:t>X</w:t>
            </w:r>
            <w:r w:rsidRPr="00B35E6B">
              <w:rPr>
                <w:rFonts w:ascii="Times New Roman" w:hAnsi="Times New Roman" w:cs="Times New Roman"/>
                <w:sz w:val="28"/>
                <w:szCs w:val="28"/>
                <w:vertAlign w:val="subscript"/>
              </w:rPr>
              <w:t>i</w:t>
            </w:r>
            <w:proofErr w:type="spellEnd"/>
            <w:r w:rsidRPr="00B35E6B">
              <w:rPr>
                <w:rFonts w:ascii="Times New Roman" w:hAnsi="Times New Roman" w:cs="Times New Roman"/>
                <w:sz w:val="28"/>
                <w:szCs w:val="28"/>
              </w:rPr>
              <w:t xml:space="preserve"> </w:t>
            </w:r>
            <w:r w:rsidRPr="00B35E6B">
              <w:rPr>
                <w:rFonts w:ascii="Times New Roman" w:hAnsi="Times New Roman" w:cs="Times New Roman"/>
                <w:sz w:val="28"/>
                <w:szCs w:val="28"/>
                <w:vertAlign w:val="subscript"/>
              </w:rPr>
              <w:t>план.</w:t>
            </w:r>
          </w:p>
        </w:tc>
        <w:tc>
          <w:tcPr>
            <w:tcW w:w="712" w:type="dxa"/>
            <w:vMerge/>
            <w:tcBorders>
              <w:top w:val="single" w:sz="4" w:space="0" w:color="auto"/>
            </w:tcBorders>
          </w:tcPr>
          <w:p w:rsidR="00DF6DC7" w:rsidRPr="00B35E6B" w:rsidRDefault="00DF6DC7" w:rsidP="00B35E6B">
            <w:pPr>
              <w:pStyle w:val="ConsPlusNormal"/>
              <w:ind w:right="-174"/>
              <w:contextualSpacing/>
              <w:jc w:val="center"/>
              <w:rPr>
                <w:rFonts w:ascii="Times New Roman" w:hAnsi="Times New Roman" w:cs="Times New Roman"/>
                <w:sz w:val="28"/>
                <w:szCs w:val="28"/>
              </w:rPr>
            </w:pPr>
          </w:p>
        </w:tc>
      </w:tr>
    </w:tbl>
    <w:p w:rsidR="00DF6DC7" w:rsidRPr="00B35E6B" w:rsidRDefault="00DF6DC7" w:rsidP="00B35E6B">
      <w:pPr>
        <w:pStyle w:val="ConsPlusNormal"/>
        <w:contextualSpacing/>
        <w:jc w:val="both"/>
        <w:rPr>
          <w:rFonts w:ascii="Times New Roman" w:hAnsi="Times New Roman" w:cs="Times New Roman"/>
          <w:sz w:val="28"/>
          <w:szCs w:val="28"/>
        </w:rPr>
      </w:pPr>
      <w:r w:rsidRPr="00B35E6B">
        <w:rPr>
          <w:rFonts w:ascii="Times New Roman" w:hAnsi="Times New Roman" w:cs="Times New Roman"/>
          <w:sz w:val="28"/>
          <w:szCs w:val="28"/>
        </w:rPr>
        <w:t>где:</w:t>
      </w:r>
    </w:p>
    <w:p w:rsidR="00DF6DC7" w:rsidRPr="00B35E6B" w:rsidRDefault="00DF6DC7" w:rsidP="00B35E6B">
      <w:pPr>
        <w:pStyle w:val="ConsPlusNormal"/>
        <w:ind w:firstLine="709"/>
        <w:contextualSpacing/>
        <w:jc w:val="both"/>
        <w:rPr>
          <w:rFonts w:ascii="Times New Roman" w:hAnsi="Times New Roman" w:cs="Times New Roman"/>
          <w:sz w:val="28"/>
          <w:szCs w:val="28"/>
        </w:rPr>
      </w:pPr>
      <w:proofErr w:type="spellStart"/>
      <w:r w:rsidRPr="00B35E6B">
        <w:rPr>
          <w:rFonts w:ascii="Times New Roman" w:hAnsi="Times New Roman" w:cs="Times New Roman"/>
          <w:sz w:val="28"/>
          <w:szCs w:val="28"/>
        </w:rPr>
        <w:t>К</w:t>
      </w:r>
      <w:proofErr w:type="gramStart"/>
      <w:r w:rsidRPr="00B35E6B">
        <w:rPr>
          <w:rFonts w:ascii="Times New Roman" w:hAnsi="Times New Roman" w:cs="Times New Roman"/>
          <w:sz w:val="28"/>
          <w:szCs w:val="28"/>
          <w:vertAlign w:val="subscript"/>
        </w:rPr>
        <w:t>i</w:t>
      </w:r>
      <w:proofErr w:type="spellEnd"/>
      <w:proofErr w:type="gramEnd"/>
      <w:r w:rsidRPr="00B35E6B">
        <w:rPr>
          <w:rFonts w:ascii="Times New Roman" w:hAnsi="Times New Roman" w:cs="Times New Roman"/>
          <w:sz w:val="28"/>
          <w:szCs w:val="28"/>
        </w:rPr>
        <w:t xml:space="preserve"> – весовой коэффициент i-</w:t>
      </w:r>
      <w:proofErr w:type="spellStart"/>
      <w:r w:rsidRPr="00B35E6B">
        <w:rPr>
          <w:rFonts w:ascii="Times New Roman" w:hAnsi="Times New Roman" w:cs="Times New Roman"/>
          <w:sz w:val="28"/>
          <w:szCs w:val="28"/>
        </w:rPr>
        <w:t>го</w:t>
      </w:r>
      <w:proofErr w:type="spellEnd"/>
      <w:r w:rsidRPr="00B35E6B" w:rsidDel="003417BD">
        <w:rPr>
          <w:rFonts w:ascii="Times New Roman" w:hAnsi="Times New Roman" w:cs="Times New Roman"/>
          <w:sz w:val="28"/>
          <w:szCs w:val="28"/>
        </w:rPr>
        <w:t xml:space="preserve"> </w:t>
      </w:r>
      <w:r w:rsidRPr="00B35E6B">
        <w:rPr>
          <w:rFonts w:ascii="Times New Roman" w:hAnsi="Times New Roman" w:cs="Times New Roman"/>
          <w:sz w:val="28"/>
          <w:szCs w:val="28"/>
        </w:rPr>
        <w:t>объекта, финансируемого за счет субсидии (в сумме объектов равен 1);</w:t>
      </w:r>
    </w:p>
    <w:p w:rsidR="00DF6DC7" w:rsidRPr="00B35E6B" w:rsidRDefault="00DF6DC7" w:rsidP="00B35E6B">
      <w:pPr>
        <w:pStyle w:val="ConsPlusNormal"/>
        <w:widowControl/>
        <w:ind w:firstLine="709"/>
        <w:contextualSpacing/>
        <w:jc w:val="both"/>
        <w:rPr>
          <w:rFonts w:ascii="Times New Roman" w:hAnsi="Times New Roman" w:cs="Times New Roman"/>
          <w:sz w:val="28"/>
          <w:szCs w:val="28"/>
        </w:rPr>
      </w:pPr>
      <w:proofErr w:type="spellStart"/>
      <w:r w:rsidRPr="00B35E6B">
        <w:rPr>
          <w:rFonts w:ascii="Times New Roman" w:hAnsi="Times New Roman" w:cs="Times New Roman"/>
          <w:sz w:val="28"/>
          <w:szCs w:val="28"/>
        </w:rPr>
        <w:t>X</w:t>
      </w:r>
      <w:r w:rsidRPr="00B35E6B">
        <w:rPr>
          <w:rFonts w:ascii="Times New Roman" w:hAnsi="Times New Roman" w:cs="Times New Roman"/>
          <w:sz w:val="28"/>
          <w:szCs w:val="28"/>
          <w:vertAlign w:val="subscript"/>
        </w:rPr>
        <w:t>i</w:t>
      </w:r>
      <w:proofErr w:type="spellEnd"/>
      <w:r w:rsidRPr="00B35E6B">
        <w:rPr>
          <w:rFonts w:ascii="Times New Roman" w:hAnsi="Times New Roman" w:cs="Times New Roman"/>
          <w:sz w:val="28"/>
          <w:szCs w:val="28"/>
          <w:vertAlign w:val="subscript"/>
        </w:rPr>
        <w:t xml:space="preserve"> тек</w:t>
      </w:r>
      <w:proofErr w:type="gramStart"/>
      <w:r w:rsidRPr="00B35E6B">
        <w:rPr>
          <w:rFonts w:ascii="Times New Roman" w:hAnsi="Times New Roman" w:cs="Times New Roman"/>
          <w:sz w:val="28"/>
          <w:szCs w:val="28"/>
          <w:vertAlign w:val="subscript"/>
        </w:rPr>
        <w:t>.</w:t>
      </w:r>
      <w:proofErr w:type="gramEnd"/>
      <w:r w:rsidRPr="00B35E6B">
        <w:rPr>
          <w:rFonts w:ascii="Times New Roman" w:hAnsi="Times New Roman" w:cs="Times New Roman"/>
          <w:sz w:val="28"/>
          <w:szCs w:val="28"/>
        </w:rPr>
        <w:t xml:space="preserve"> – </w:t>
      </w:r>
      <w:proofErr w:type="gramStart"/>
      <w:r w:rsidRPr="00B35E6B">
        <w:rPr>
          <w:rFonts w:ascii="Times New Roman" w:hAnsi="Times New Roman" w:cs="Times New Roman"/>
          <w:sz w:val="28"/>
          <w:szCs w:val="28"/>
        </w:rPr>
        <w:t>з</w:t>
      </w:r>
      <w:proofErr w:type="gramEnd"/>
      <w:r w:rsidRPr="00B35E6B">
        <w:rPr>
          <w:rFonts w:ascii="Times New Roman" w:hAnsi="Times New Roman" w:cs="Times New Roman"/>
          <w:sz w:val="28"/>
          <w:szCs w:val="28"/>
        </w:rPr>
        <w:t>начение i-</w:t>
      </w:r>
      <w:proofErr w:type="spellStart"/>
      <w:r w:rsidRPr="00B35E6B">
        <w:rPr>
          <w:rFonts w:ascii="Times New Roman" w:hAnsi="Times New Roman" w:cs="Times New Roman"/>
          <w:sz w:val="28"/>
          <w:szCs w:val="28"/>
        </w:rPr>
        <w:t>го</w:t>
      </w:r>
      <w:proofErr w:type="spellEnd"/>
      <w:r w:rsidRPr="00B35E6B">
        <w:rPr>
          <w:rFonts w:ascii="Times New Roman" w:hAnsi="Times New Roman" w:cs="Times New Roman"/>
          <w:sz w:val="28"/>
          <w:szCs w:val="28"/>
        </w:rPr>
        <w:t xml:space="preserve"> показателя результата использования субсидии на текущую дату;</w:t>
      </w:r>
    </w:p>
    <w:p w:rsidR="00DF6DC7" w:rsidRPr="00B35E6B" w:rsidRDefault="00DF6DC7" w:rsidP="00B35E6B">
      <w:pPr>
        <w:pStyle w:val="ConsPlusNormal"/>
        <w:ind w:firstLine="709"/>
        <w:contextualSpacing/>
        <w:jc w:val="both"/>
        <w:rPr>
          <w:rFonts w:ascii="Times New Roman" w:hAnsi="Times New Roman" w:cs="Times New Roman"/>
          <w:sz w:val="28"/>
          <w:szCs w:val="28"/>
        </w:rPr>
      </w:pPr>
      <w:proofErr w:type="spellStart"/>
      <w:r w:rsidRPr="00B35E6B">
        <w:rPr>
          <w:rFonts w:ascii="Times New Roman" w:hAnsi="Times New Roman" w:cs="Times New Roman"/>
          <w:sz w:val="28"/>
          <w:szCs w:val="28"/>
        </w:rPr>
        <w:t>X</w:t>
      </w:r>
      <w:r w:rsidRPr="00B35E6B">
        <w:rPr>
          <w:rFonts w:ascii="Times New Roman" w:hAnsi="Times New Roman" w:cs="Times New Roman"/>
          <w:sz w:val="28"/>
          <w:szCs w:val="28"/>
          <w:vertAlign w:val="subscript"/>
        </w:rPr>
        <w:t>i</w:t>
      </w:r>
      <w:proofErr w:type="spellEnd"/>
      <w:r w:rsidRPr="00B35E6B">
        <w:rPr>
          <w:rFonts w:ascii="Times New Roman" w:hAnsi="Times New Roman" w:cs="Times New Roman"/>
          <w:sz w:val="28"/>
          <w:szCs w:val="28"/>
        </w:rPr>
        <w:t xml:space="preserve"> </w:t>
      </w:r>
      <w:r w:rsidRPr="00B35E6B">
        <w:rPr>
          <w:rFonts w:ascii="Times New Roman" w:hAnsi="Times New Roman" w:cs="Times New Roman"/>
          <w:sz w:val="28"/>
          <w:szCs w:val="28"/>
          <w:vertAlign w:val="subscript"/>
        </w:rPr>
        <w:t>план</w:t>
      </w:r>
      <w:proofErr w:type="gramStart"/>
      <w:r w:rsidRPr="00B35E6B">
        <w:rPr>
          <w:rFonts w:ascii="Times New Roman" w:hAnsi="Times New Roman" w:cs="Times New Roman"/>
          <w:sz w:val="28"/>
          <w:szCs w:val="28"/>
          <w:vertAlign w:val="subscript"/>
        </w:rPr>
        <w:t>.</w:t>
      </w:r>
      <w:proofErr w:type="gramEnd"/>
      <w:r w:rsidRPr="00B35E6B">
        <w:rPr>
          <w:rFonts w:ascii="Times New Roman" w:hAnsi="Times New Roman" w:cs="Times New Roman"/>
          <w:sz w:val="28"/>
          <w:szCs w:val="28"/>
        </w:rPr>
        <w:t xml:space="preserve"> – </w:t>
      </w:r>
      <w:proofErr w:type="gramStart"/>
      <w:r w:rsidRPr="00B35E6B">
        <w:rPr>
          <w:rFonts w:ascii="Times New Roman" w:hAnsi="Times New Roman" w:cs="Times New Roman"/>
          <w:sz w:val="28"/>
          <w:szCs w:val="28"/>
        </w:rPr>
        <w:t>п</w:t>
      </w:r>
      <w:proofErr w:type="gramEnd"/>
      <w:r w:rsidRPr="00B35E6B">
        <w:rPr>
          <w:rFonts w:ascii="Times New Roman" w:hAnsi="Times New Roman" w:cs="Times New Roman"/>
          <w:sz w:val="28"/>
          <w:szCs w:val="28"/>
        </w:rPr>
        <w:t>лановое значение i-</w:t>
      </w:r>
      <w:proofErr w:type="spellStart"/>
      <w:r w:rsidRPr="00B35E6B">
        <w:rPr>
          <w:rFonts w:ascii="Times New Roman" w:hAnsi="Times New Roman" w:cs="Times New Roman"/>
          <w:sz w:val="28"/>
          <w:szCs w:val="28"/>
        </w:rPr>
        <w:t>го</w:t>
      </w:r>
      <w:proofErr w:type="spellEnd"/>
      <w:r w:rsidRPr="00B35E6B">
        <w:rPr>
          <w:rFonts w:ascii="Times New Roman" w:hAnsi="Times New Roman" w:cs="Times New Roman"/>
          <w:sz w:val="28"/>
          <w:szCs w:val="28"/>
        </w:rPr>
        <w:t xml:space="preserve"> показателя результата использования </w:t>
      </w:r>
      <w:r w:rsidRPr="00B35E6B">
        <w:rPr>
          <w:rFonts w:ascii="Times New Roman" w:hAnsi="Times New Roman" w:cs="Times New Roman"/>
          <w:sz w:val="28"/>
          <w:szCs w:val="28"/>
        </w:rPr>
        <w:lastRenderedPageBreak/>
        <w:t>субсидии, запланированного к выполнению.</w:t>
      </w:r>
    </w:p>
    <w:p w:rsidR="00DF6DC7" w:rsidRPr="00B35E6B" w:rsidRDefault="00DF6DC7" w:rsidP="00B35E6B">
      <w:pPr>
        <w:pStyle w:val="ConsPlusNormal"/>
        <w:spacing w:line="235" w:lineRule="auto"/>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При расчете комплексного показателя эффективности использования субсидии используется результат использования субсидии – количество разработанных и утвержденных положительными заключениями государственной экспертизы проектов (штук).</w:t>
      </w:r>
    </w:p>
    <w:p w:rsidR="00DF6DC7" w:rsidRPr="00B35E6B" w:rsidRDefault="00DF6DC7" w:rsidP="00B35E6B">
      <w:pPr>
        <w:pStyle w:val="ConsPlusNormal"/>
        <w:spacing w:line="235" w:lineRule="auto"/>
        <w:ind w:firstLine="709"/>
        <w:contextualSpacing/>
        <w:jc w:val="both"/>
        <w:rPr>
          <w:rFonts w:ascii="Times New Roman" w:hAnsi="Times New Roman" w:cs="Times New Roman"/>
          <w:sz w:val="28"/>
          <w:szCs w:val="28"/>
        </w:rPr>
      </w:pPr>
      <w:r w:rsidRPr="00B35E6B">
        <w:rPr>
          <w:rFonts w:ascii="Times New Roman" w:hAnsi="Times New Roman" w:cs="Times New Roman"/>
          <w:sz w:val="28"/>
          <w:szCs w:val="28"/>
        </w:rPr>
        <w:t>При значении комплексного показателя эффективности 90 процентов и более эффективность использования субсидии признается высокой, при значении до 90 процентов – низкой.</w:t>
      </w:r>
    </w:p>
    <w:p w:rsidR="00F65D88" w:rsidRPr="00B35E6B" w:rsidRDefault="00F65D88" w:rsidP="00B35E6B">
      <w:pPr>
        <w:contextualSpacing/>
        <w:rPr>
          <w:szCs w:val="28"/>
        </w:rPr>
      </w:pPr>
    </w:p>
    <w:sectPr w:rsidR="00F65D88" w:rsidRPr="00B35E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5E6B">
      <w:r>
        <w:separator/>
      </w:r>
    </w:p>
  </w:endnote>
  <w:endnote w:type="continuationSeparator" w:id="0">
    <w:p w:rsidR="00000000" w:rsidRDefault="00B3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5E6B">
      <w:r>
        <w:separator/>
      </w:r>
    </w:p>
  </w:footnote>
  <w:footnote w:type="continuationSeparator" w:id="0">
    <w:p w:rsidR="00000000" w:rsidRDefault="00B35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58"/>
      <w:docPartObj>
        <w:docPartGallery w:val="Page Numbers (Top of Page)"/>
        <w:docPartUnique/>
      </w:docPartObj>
    </w:sdtPr>
    <w:sdtContent>
      <w:p w:rsidR="00B35E6B" w:rsidRDefault="00B35E6B">
        <w:pPr>
          <w:pStyle w:val="a3"/>
          <w:jc w:val="center"/>
        </w:pPr>
        <w:r>
          <w:fldChar w:fldCharType="begin"/>
        </w:r>
        <w:r>
          <w:instrText>PAGE   \* MERGEFORMAT</w:instrText>
        </w:r>
        <w:r>
          <w:fldChar w:fldCharType="separate"/>
        </w:r>
        <w:r>
          <w:rPr>
            <w:noProof/>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7C7" w:rsidRPr="007340AE" w:rsidRDefault="00B35E6B" w:rsidP="000700C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DC7"/>
    <w:rsid w:val="000A46E0"/>
    <w:rsid w:val="00110B8F"/>
    <w:rsid w:val="00155A13"/>
    <w:rsid w:val="00210BFB"/>
    <w:rsid w:val="0027511F"/>
    <w:rsid w:val="00407387"/>
    <w:rsid w:val="00660BD3"/>
    <w:rsid w:val="00676FE3"/>
    <w:rsid w:val="0078589D"/>
    <w:rsid w:val="007F3DC9"/>
    <w:rsid w:val="00B23EBB"/>
    <w:rsid w:val="00B35E6B"/>
    <w:rsid w:val="00BB19C0"/>
    <w:rsid w:val="00DF6DC7"/>
    <w:rsid w:val="00E353A3"/>
    <w:rsid w:val="00F6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C7"/>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6DC7"/>
    <w:pPr>
      <w:tabs>
        <w:tab w:val="center" w:pos="4677"/>
        <w:tab w:val="right" w:pos="9355"/>
      </w:tabs>
    </w:pPr>
  </w:style>
  <w:style w:type="character" w:customStyle="1" w:styleId="a4">
    <w:name w:val="Верхний колонтитул Знак"/>
    <w:basedOn w:val="a0"/>
    <w:link w:val="a3"/>
    <w:uiPriority w:val="99"/>
    <w:rsid w:val="00DF6DC7"/>
    <w:rPr>
      <w:rFonts w:ascii="Times New Roman" w:eastAsia="Times New Roman" w:hAnsi="Times New Roman" w:cs="Times New Roman"/>
      <w:sz w:val="28"/>
      <w:szCs w:val="20"/>
      <w:lang w:eastAsia="ru-RU"/>
    </w:rPr>
  </w:style>
  <w:style w:type="table" w:styleId="a5">
    <w:name w:val="Table Grid"/>
    <w:basedOn w:val="a1"/>
    <w:uiPriority w:val="59"/>
    <w:rsid w:val="00DF6DC7"/>
    <w:pPr>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6D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6D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6DC7"/>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DF6DC7"/>
    <w:rPr>
      <w:rFonts w:ascii="Tahoma" w:hAnsi="Tahoma" w:cs="Tahoma"/>
      <w:sz w:val="16"/>
      <w:szCs w:val="16"/>
    </w:rPr>
  </w:style>
  <w:style w:type="character" w:customStyle="1" w:styleId="a7">
    <w:name w:val="Текст выноски Знак"/>
    <w:basedOn w:val="a0"/>
    <w:link w:val="a6"/>
    <w:uiPriority w:val="99"/>
    <w:semiHidden/>
    <w:rsid w:val="00DF6DC7"/>
    <w:rPr>
      <w:rFonts w:ascii="Tahoma" w:eastAsia="Times New Roman" w:hAnsi="Tahoma" w:cs="Tahoma"/>
      <w:sz w:val="16"/>
      <w:szCs w:val="16"/>
      <w:lang w:eastAsia="ru-RU"/>
    </w:rPr>
  </w:style>
  <w:style w:type="paragraph" w:styleId="a8">
    <w:name w:val="footer"/>
    <w:basedOn w:val="a"/>
    <w:link w:val="a9"/>
    <w:uiPriority w:val="99"/>
    <w:unhideWhenUsed/>
    <w:rsid w:val="00B35E6B"/>
    <w:pPr>
      <w:tabs>
        <w:tab w:val="center" w:pos="4677"/>
        <w:tab w:val="right" w:pos="9355"/>
      </w:tabs>
    </w:pPr>
  </w:style>
  <w:style w:type="character" w:customStyle="1" w:styleId="a9">
    <w:name w:val="Нижний колонтитул Знак"/>
    <w:basedOn w:val="a0"/>
    <w:link w:val="a8"/>
    <w:uiPriority w:val="99"/>
    <w:rsid w:val="00B35E6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C7"/>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6DC7"/>
    <w:pPr>
      <w:tabs>
        <w:tab w:val="center" w:pos="4677"/>
        <w:tab w:val="right" w:pos="9355"/>
      </w:tabs>
    </w:pPr>
  </w:style>
  <w:style w:type="character" w:customStyle="1" w:styleId="a4">
    <w:name w:val="Верхний колонтитул Знак"/>
    <w:basedOn w:val="a0"/>
    <w:link w:val="a3"/>
    <w:uiPriority w:val="99"/>
    <w:rsid w:val="00DF6DC7"/>
    <w:rPr>
      <w:rFonts w:ascii="Times New Roman" w:eastAsia="Times New Roman" w:hAnsi="Times New Roman" w:cs="Times New Roman"/>
      <w:sz w:val="28"/>
      <w:szCs w:val="20"/>
      <w:lang w:eastAsia="ru-RU"/>
    </w:rPr>
  </w:style>
  <w:style w:type="table" w:styleId="a5">
    <w:name w:val="Table Grid"/>
    <w:basedOn w:val="a1"/>
    <w:uiPriority w:val="59"/>
    <w:rsid w:val="00DF6DC7"/>
    <w:pPr>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F6D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6D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6DC7"/>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DF6DC7"/>
    <w:rPr>
      <w:rFonts w:ascii="Tahoma" w:hAnsi="Tahoma" w:cs="Tahoma"/>
      <w:sz w:val="16"/>
      <w:szCs w:val="16"/>
    </w:rPr>
  </w:style>
  <w:style w:type="character" w:customStyle="1" w:styleId="a7">
    <w:name w:val="Текст выноски Знак"/>
    <w:basedOn w:val="a0"/>
    <w:link w:val="a6"/>
    <w:uiPriority w:val="99"/>
    <w:semiHidden/>
    <w:rsid w:val="00DF6DC7"/>
    <w:rPr>
      <w:rFonts w:ascii="Tahoma" w:eastAsia="Times New Roman" w:hAnsi="Tahoma" w:cs="Tahoma"/>
      <w:sz w:val="16"/>
      <w:szCs w:val="16"/>
      <w:lang w:eastAsia="ru-RU"/>
    </w:rPr>
  </w:style>
  <w:style w:type="paragraph" w:styleId="a8">
    <w:name w:val="footer"/>
    <w:basedOn w:val="a"/>
    <w:link w:val="a9"/>
    <w:uiPriority w:val="99"/>
    <w:unhideWhenUsed/>
    <w:rsid w:val="00B35E6B"/>
    <w:pPr>
      <w:tabs>
        <w:tab w:val="center" w:pos="4677"/>
        <w:tab w:val="right" w:pos="9355"/>
      </w:tabs>
    </w:pPr>
  </w:style>
  <w:style w:type="character" w:customStyle="1" w:styleId="a9">
    <w:name w:val="Нижний колонтитул Знак"/>
    <w:basedOn w:val="a0"/>
    <w:link w:val="a8"/>
    <w:uiPriority w:val="99"/>
    <w:rsid w:val="00B35E6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84B3FE470DF1F7A045C52FA742FC1472EBE25B88968F054F6123BDC026v4t1H"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FDFD74FE94AC190F4BF6529EEAC20009351EB33631EC24E2673678384D2A80Cp675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FDFD74FE94AC190F4BF6529EEAC20009351EB33631EC24E2673678384D2A80Cp675O"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2994</Words>
  <Characters>17067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Долотова Елена Викторовна</dc:creator>
  <cp:lastModifiedBy>Овсянникова Евгения Владимировна</cp:lastModifiedBy>
  <cp:revision>2</cp:revision>
  <dcterms:created xsi:type="dcterms:W3CDTF">2022-01-25T13:37:00Z</dcterms:created>
  <dcterms:modified xsi:type="dcterms:W3CDTF">2022-01-26T12:15:00Z</dcterms:modified>
</cp:coreProperties>
</file>