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B4" w:rsidRDefault="00812FB4" w:rsidP="00812FB4">
      <w:pPr>
        <w:ind w:firstLine="420"/>
        <w:jc w:val="right"/>
      </w:pPr>
      <w:r>
        <w:rPr>
          <w:color w:val="000000"/>
          <w:sz w:val="28"/>
          <w:szCs w:val="28"/>
        </w:rPr>
        <w:t>Приложение 20</w:t>
      </w:r>
    </w:p>
    <w:p w:rsidR="00812FB4" w:rsidRDefault="00812FB4" w:rsidP="00812FB4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812FB4" w:rsidRPr="00812FB4" w:rsidRDefault="007A4FEE" w:rsidP="00812FB4">
      <w:pPr>
        <w:spacing w:before="120"/>
        <w:jc w:val="right"/>
        <w:rPr>
          <w:sz w:val="28"/>
          <w:szCs w:val="28"/>
        </w:rPr>
      </w:pPr>
      <w:r w:rsidRPr="007A4FEE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812FB4" w:rsidRPr="00812FB4" w:rsidRDefault="00812FB4" w:rsidP="00812FB4">
      <w:pPr>
        <w:jc w:val="right"/>
        <w:rPr>
          <w:sz w:val="28"/>
          <w:szCs w:val="28"/>
        </w:rPr>
      </w:pPr>
    </w:p>
    <w:p w:rsidR="00812FB4" w:rsidRPr="00812FB4" w:rsidRDefault="00812FB4" w:rsidP="00812FB4">
      <w:pPr>
        <w:jc w:val="right"/>
        <w:rPr>
          <w:sz w:val="28"/>
          <w:szCs w:val="28"/>
        </w:rPr>
      </w:pPr>
    </w:p>
    <w:p w:rsidR="00812FB4" w:rsidRDefault="00812FB4" w:rsidP="00812FB4">
      <w:pPr>
        <w:contextualSpacing/>
        <w:jc w:val="center"/>
      </w:pPr>
      <w:r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812FB4" w:rsidRDefault="00812FB4" w:rsidP="00812FB4">
      <w:pPr>
        <w:contextualSpacing/>
        <w:jc w:val="center"/>
      </w:pPr>
      <w:r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812FB4" w:rsidRDefault="00812FB4" w:rsidP="00812FB4">
      <w:pPr>
        <w:contextualSpacing/>
        <w:jc w:val="center"/>
      </w:pPr>
      <w:r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812FB4" w:rsidRDefault="00812FB4" w:rsidP="00812FB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  <w:r>
        <w:t xml:space="preserve"> </w:t>
      </w:r>
    </w:p>
    <w:p w:rsidR="00812FB4" w:rsidRPr="00812FB4" w:rsidRDefault="00812FB4" w:rsidP="00812FB4">
      <w:pPr>
        <w:jc w:val="center"/>
        <w:rPr>
          <w:sz w:val="28"/>
          <w:szCs w:val="28"/>
        </w:rPr>
      </w:pPr>
    </w:p>
    <w:tbl>
      <w:tblPr>
        <w:tblOverlap w:val="never"/>
        <w:tblW w:w="9586" w:type="dxa"/>
        <w:tblLayout w:type="fixed"/>
        <w:tblLook w:val="01E0" w:firstRow="1" w:lastRow="1" w:firstColumn="1" w:lastColumn="1" w:noHBand="0" w:noVBand="0"/>
      </w:tblPr>
      <w:tblGrid>
        <w:gridCol w:w="7824"/>
        <w:gridCol w:w="1762"/>
      </w:tblGrid>
      <w:tr w:rsidR="009A5246" w:rsidTr="00812FB4">
        <w:trPr>
          <w:tblHeader/>
        </w:trPr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1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80"/>
            </w:tblGrid>
            <w:tr w:rsidR="00812FB4" w:rsidTr="00812FB4">
              <w:trPr>
                <w:jc w:val="center"/>
              </w:trPr>
              <w:tc>
                <w:tcPr>
                  <w:tcW w:w="6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46" w:rsidRDefault="008008AB" w:rsidP="00812FB4">
                  <w:pPr>
                    <w:tabs>
                      <w:tab w:val="left" w:pos="2540"/>
                      <w:tab w:val="center" w:pos="4319"/>
                    </w:tabs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A5246" w:rsidRDefault="009A5246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A524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46" w:rsidRDefault="008008AB" w:rsidP="008008AB">
                  <w:pPr>
                    <w:ind w:right="-24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A5246" w:rsidRDefault="008008AB" w:rsidP="008008AB">
                  <w:pPr>
                    <w:ind w:right="-108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A5246" w:rsidRDefault="009A5246">
            <w:pPr>
              <w:spacing w:line="1" w:lineRule="auto"/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создание детских технопарков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21 173 490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7 477 200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благоустройство сельских территорий Ярославской области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благоустройство исторических центров городов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2E2FA0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13 035 000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1 406 251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Межбюджетные трансфер</w:t>
            </w:r>
            <w:r w:rsidR="00812FB4">
              <w:rPr>
                <w:b/>
                <w:bCs/>
                <w:color w:val="000000"/>
                <w:sz w:val="24"/>
                <w:szCs w:val="24"/>
              </w:rPr>
              <w:t>ты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содержанию и обслуживанию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18 893 519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20 165 000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23 730 000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Межбюджетные трансфер</w:t>
            </w:r>
            <w:r w:rsidR="00812FB4">
              <w:rPr>
                <w:b/>
                <w:bCs/>
                <w:color w:val="000000"/>
                <w:sz w:val="24"/>
                <w:szCs w:val="24"/>
              </w:rPr>
              <w:t>ты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борьбе с борщевиком Сосновского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35 761 592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1 021 635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3 505 564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202 947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167 301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62 291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38 178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79 973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482 251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231 079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608 249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80 375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13 957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2 422 406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209 743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159 658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112 525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2 372 877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102 394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51 776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39 133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138 245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590 155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40 188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777 614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121 409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294 668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52 043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20 496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711 883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363 525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823 846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342 398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1 406 566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7 103 560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419 358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1 125 253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254 388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1 386 673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516 889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9A52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1 687 477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401 876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1 210 049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109 913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1 002 681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9A5246" w:rsidTr="00812FB4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246" w:rsidRDefault="008008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246" w:rsidRDefault="008008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1 853 842 052</w:t>
            </w:r>
          </w:p>
        </w:tc>
      </w:tr>
    </w:tbl>
    <w:p w:rsidR="002A6A07" w:rsidRDefault="002A6A07" w:rsidP="00812FB4"/>
    <w:sectPr w:rsidR="002A6A07" w:rsidSect="00812FB4">
      <w:headerReference w:type="default" r:id="rId7"/>
      <w:footerReference w:type="default" r:id="rId8"/>
      <w:pgSz w:w="11905" w:h="16837"/>
      <w:pgMar w:top="1134" w:right="850" w:bottom="1134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51" w:rsidRDefault="006E4651" w:rsidP="009A5246">
      <w:r>
        <w:separator/>
      </w:r>
    </w:p>
  </w:endnote>
  <w:endnote w:type="continuationSeparator" w:id="0">
    <w:p w:rsidR="006E4651" w:rsidRDefault="006E4651" w:rsidP="009A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246">
      <w:tc>
        <w:tcPr>
          <w:tcW w:w="10421" w:type="dxa"/>
        </w:tcPr>
        <w:p w:rsidR="009A5246" w:rsidRDefault="008008A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A5246" w:rsidRDefault="009A524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51" w:rsidRDefault="006E4651" w:rsidP="009A5246">
      <w:r>
        <w:separator/>
      </w:r>
    </w:p>
  </w:footnote>
  <w:footnote w:type="continuationSeparator" w:id="0">
    <w:p w:rsidR="006E4651" w:rsidRDefault="006E4651" w:rsidP="009A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246">
      <w:tc>
        <w:tcPr>
          <w:tcW w:w="10421" w:type="dxa"/>
        </w:tcPr>
        <w:p w:rsidR="009A5246" w:rsidRPr="00812FB4" w:rsidRDefault="009A5246">
          <w:pPr>
            <w:jc w:val="center"/>
            <w:rPr>
              <w:color w:val="000000"/>
              <w:sz w:val="28"/>
              <w:szCs w:val="28"/>
            </w:rPr>
          </w:pPr>
          <w:r w:rsidRPr="00812FB4">
            <w:rPr>
              <w:sz w:val="28"/>
              <w:szCs w:val="28"/>
            </w:rPr>
            <w:fldChar w:fldCharType="begin"/>
          </w:r>
          <w:r w:rsidR="008008AB" w:rsidRPr="00812FB4">
            <w:rPr>
              <w:color w:val="000000"/>
              <w:sz w:val="28"/>
              <w:szCs w:val="28"/>
            </w:rPr>
            <w:instrText>PAGE</w:instrText>
          </w:r>
          <w:r w:rsidRPr="00812FB4">
            <w:rPr>
              <w:sz w:val="28"/>
              <w:szCs w:val="28"/>
            </w:rPr>
            <w:fldChar w:fldCharType="separate"/>
          </w:r>
          <w:r w:rsidR="007A4FEE">
            <w:rPr>
              <w:noProof/>
              <w:color w:val="000000"/>
              <w:sz w:val="28"/>
              <w:szCs w:val="28"/>
            </w:rPr>
            <w:t>7</w:t>
          </w:r>
          <w:r w:rsidRPr="00812FB4">
            <w:rPr>
              <w:sz w:val="28"/>
              <w:szCs w:val="28"/>
            </w:rPr>
            <w:fldChar w:fldCharType="end"/>
          </w:r>
        </w:p>
        <w:p w:rsidR="009A5246" w:rsidRDefault="009A524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46"/>
    <w:rsid w:val="002A6A07"/>
    <w:rsid w:val="002E2FA0"/>
    <w:rsid w:val="006E4651"/>
    <w:rsid w:val="007A4FEE"/>
    <w:rsid w:val="008008AB"/>
    <w:rsid w:val="00812FB4"/>
    <w:rsid w:val="009A5246"/>
    <w:rsid w:val="00E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A52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FB4"/>
  </w:style>
  <w:style w:type="paragraph" w:styleId="a6">
    <w:name w:val="footer"/>
    <w:basedOn w:val="a"/>
    <w:link w:val="a7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A52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FB4"/>
  </w:style>
  <w:style w:type="paragraph" w:styleId="a6">
    <w:name w:val="footer"/>
    <w:basedOn w:val="a"/>
    <w:link w:val="a7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2023-12-15T13:23:00Z</dcterms:created>
  <dcterms:modified xsi:type="dcterms:W3CDTF">2023-12-21T08:44:00Z</dcterms:modified>
</cp:coreProperties>
</file>